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规格：φ4*175mm广角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视向角：0°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3.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视场角：80°±15%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4.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光学工作距离：12mm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±2mm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5.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有效景深范围：1mm-50mm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6.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在A标准照明体下的显色指数：Ra≥85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7.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在D65标准照明体下的显色指数：Ra≥85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8.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照明镜体光效：ILeR≥0.65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9.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有效光度率：DM≤1850cd/m2/lm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10.</w:t>
            </w: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单位相对畸变VU-Z的控制量：≤25%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1.设备质保时间≥半年。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2.到货时间：合同签订后5个工作日内 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1、验收合格后30日内支付合同金额100%。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</w:rPr>
      </w:pPr>
    </w:p>
    <w:tbl>
      <w:tblPr>
        <w:tblStyle w:val="6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614"/>
        <w:gridCol w:w="745"/>
        <w:gridCol w:w="489"/>
        <w:gridCol w:w="666"/>
        <w:gridCol w:w="716"/>
        <w:gridCol w:w="1188"/>
        <w:gridCol w:w="887"/>
        <w:gridCol w:w="778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0" w:hRule="exact"/>
          <w:jc w:val="center"/>
        </w:trPr>
        <w:tc>
          <w:tcPr>
            <w:tcW w:w="26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944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436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286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38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41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69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生产厂家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全称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19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质保</w:t>
            </w:r>
          </w:p>
        </w:tc>
        <w:tc>
          <w:tcPr>
            <w:tcW w:w="584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送货时间（天）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26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9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43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286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69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19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4" w:type="pct"/>
            <w:noWrap w:val="0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cs="Times New Roman"/>
          <w:sz w:val="24"/>
          <w:lang w:val="en-US" w:eastAsia="zh-CN"/>
        </w:rPr>
        <w:t>3</w:t>
      </w:r>
      <w:r>
        <w:rPr>
          <w:rFonts w:hint="eastAsia" w:ascii="宋体" w:hAnsi="宋体" w:eastAsia="宋体" w:cs="Times New Roman"/>
          <w:sz w:val="24"/>
          <w:lang w:val="en-US" w:eastAsia="zh-CN"/>
        </w:rPr>
        <w:t>.“报价表”为多页的，每页均需由法定代表人或授权代表签字并盖投标人印章；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Style w:val="9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89E3F29"/>
    <w:rsid w:val="321E0E5C"/>
    <w:rsid w:val="455D7F73"/>
    <w:rsid w:val="569F54B0"/>
    <w:rsid w:val="56E0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2024-03-26T09:02:15Z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B9AA9C1086C445CA8307CC1ED25F61FA_11</vt:lpwstr>
  </property>
</Properties>
</file>