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default" w:ascii="仿宋" w:hAnsi="仿宋" w:eastAsia="仿宋" w:cs="仿宋"/>
          <w:b/>
          <w:bCs/>
          <w:i w:val="0"/>
          <w:caps w:val="0"/>
          <w:color w:val="333333"/>
          <w:spacing w:val="0"/>
          <w:sz w:val="32"/>
          <w:szCs w:val="32"/>
          <w:shd w:val="clear" w:fill="FFFFFF"/>
          <w:lang w:val="en-US" w:eastAsia="zh-CN"/>
        </w:rPr>
      </w:pPr>
      <w:bookmarkStart w:id="0" w:name="_GoBack"/>
      <w:bookmarkEnd w:id="0"/>
      <w:r>
        <w:rPr>
          <w:rFonts w:hint="eastAsia" w:ascii="仿宋" w:hAnsi="仿宋" w:eastAsia="仿宋" w:cs="仿宋"/>
          <w:b/>
          <w:bCs/>
          <w:i w:val="0"/>
          <w:caps w:val="0"/>
          <w:color w:val="333333"/>
          <w:spacing w:val="0"/>
          <w:sz w:val="32"/>
          <w:szCs w:val="32"/>
          <w:shd w:val="clear" w:fill="FFFFFF"/>
          <w:lang w:val="en-US" w:eastAsia="zh-CN"/>
        </w:rPr>
        <w:t>附件：2024年医院信息化建设项目要求</w:t>
      </w:r>
    </w:p>
    <w:p>
      <w:pPr>
        <w:pStyle w:val="5"/>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办公设备采购</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tbl>
      <w:tblPr>
        <w:tblStyle w:val="7"/>
        <w:tblW w:w="7820" w:type="dxa"/>
        <w:jc w:val="center"/>
        <w:tblLayout w:type="fixed"/>
        <w:tblCellMar>
          <w:top w:w="0" w:type="dxa"/>
          <w:left w:w="108" w:type="dxa"/>
          <w:bottom w:w="0" w:type="dxa"/>
          <w:right w:w="108" w:type="dxa"/>
        </w:tblCellMar>
      </w:tblPr>
      <w:tblGrid>
        <w:gridCol w:w="1556"/>
        <w:gridCol w:w="3129"/>
        <w:gridCol w:w="1576"/>
        <w:gridCol w:w="1559"/>
      </w:tblGrid>
      <w:tr>
        <w:tblPrEx>
          <w:tblCellMar>
            <w:top w:w="0" w:type="dxa"/>
            <w:left w:w="108" w:type="dxa"/>
            <w:bottom w:w="0" w:type="dxa"/>
            <w:right w:w="108" w:type="dxa"/>
          </w:tblCellMar>
        </w:tblPrEx>
        <w:trPr>
          <w:trHeight w:val="306" w:hRule="atLeast"/>
          <w:jc w:val="center"/>
        </w:trPr>
        <w:tc>
          <w:tcPr>
            <w:tcW w:w="155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ind w:left="0" w:leftChars="0"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序号</w:t>
            </w:r>
          </w:p>
        </w:tc>
        <w:tc>
          <w:tcPr>
            <w:tcW w:w="312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ind w:left="0" w:leftChars="0"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设备名称</w:t>
            </w:r>
          </w:p>
        </w:tc>
        <w:tc>
          <w:tcPr>
            <w:tcW w:w="15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ind w:left="0" w:leftChars="0" w:firstLine="0" w:firstLineChars="0"/>
              <w:jc w:val="center"/>
              <w:rPr>
                <w:rFonts w:ascii="宋体" w:hAnsi="宋体" w:eastAsia="宋体" w:cs="宋体"/>
                <w:b/>
                <w:bCs/>
                <w:kern w:val="0"/>
                <w:sz w:val="24"/>
                <w:szCs w:val="24"/>
              </w:rPr>
            </w:pPr>
            <w:r>
              <w:rPr>
                <w:rFonts w:hint="eastAsia" w:ascii="宋体" w:hAnsi="宋体" w:eastAsia="宋体" w:cs="宋体"/>
                <w:b/>
                <w:bCs/>
                <w:kern w:val="0"/>
                <w:sz w:val="24"/>
                <w:szCs w:val="24"/>
              </w:rPr>
              <w:t>单位</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数量</w:t>
            </w:r>
          </w:p>
        </w:tc>
      </w:tr>
      <w:tr>
        <w:tblPrEx>
          <w:tblCellMar>
            <w:top w:w="0" w:type="dxa"/>
            <w:left w:w="108" w:type="dxa"/>
            <w:bottom w:w="0" w:type="dxa"/>
            <w:right w:w="108" w:type="dxa"/>
          </w:tblCellMar>
        </w:tblPrEx>
        <w:trPr>
          <w:trHeight w:val="306" w:hRule="atLeast"/>
          <w:jc w:val="center"/>
        </w:trPr>
        <w:tc>
          <w:tcPr>
            <w:tcW w:w="1556" w:type="dxa"/>
            <w:tcBorders>
              <w:top w:val="single" w:color="auto" w:sz="4" w:space="0"/>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1</w:t>
            </w:r>
          </w:p>
        </w:tc>
        <w:tc>
          <w:tcPr>
            <w:tcW w:w="3129" w:type="dxa"/>
            <w:tcBorders>
              <w:top w:val="single" w:color="auto" w:sz="4" w:space="0"/>
              <w:left w:val="nil"/>
              <w:bottom w:val="single" w:color="auto" w:sz="8" w:space="0"/>
              <w:right w:val="single" w:color="000000" w:sz="8" w:space="0"/>
            </w:tcBorders>
            <w:shd w:val="clear" w:color="auto" w:fill="auto"/>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瓶签打印机</w:t>
            </w:r>
          </w:p>
        </w:tc>
        <w:tc>
          <w:tcPr>
            <w:tcW w:w="1576" w:type="dxa"/>
            <w:tcBorders>
              <w:top w:val="single" w:color="auto" w:sz="4" w:space="0"/>
              <w:left w:val="nil"/>
              <w:bottom w:val="single" w:color="000000" w:sz="8" w:space="0"/>
              <w:right w:val="single" w:color="000000" w:sz="8" w:space="0"/>
            </w:tcBorders>
            <w:shd w:val="clear" w:color="000000" w:fill="FFFFFF"/>
            <w:noWrap/>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single" w:color="auto" w:sz="4" w:space="0"/>
              <w:left w:val="nil"/>
              <w:bottom w:val="single" w:color="000000" w:sz="8" w:space="0"/>
              <w:right w:val="single" w:color="auto"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20</w:t>
            </w:r>
          </w:p>
        </w:tc>
      </w:tr>
      <w:tr>
        <w:tblPrEx>
          <w:tblCellMar>
            <w:top w:w="0" w:type="dxa"/>
            <w:left w:w="108" w:type="dxa"/>
            <w:bottom w:w="0" w:type="dxa"/>
            <w:right w:w="108" w:type="dxa"/>
          </w:tblCellMar>
        </w:tblPrEx>
        <w:trPr>
          <w:trHeight w:val="317" w:hRule="atLeast"/>
          <w:jc w:val="center"/>
        </w:trPr>
        <w:tc>
          <w:tcPr>
            <w:tcW w:w="1556"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2</w:t>
            </w:r>
          </w:p>
        </w:tc>
        <w:tc>
          <w:tcPr>
            <w:tcW w:w="3129" w:type="dxa"/>
            <w:tcBorders>
              <w:top w:val="nil"/>
              <w:left w:val="nil"/>
              <w:bottom w:val="single" w:color="auto" w:sz="8" w:space="0"/>
              <w:right w:val="single" w:color="000000" w:sz="8" w:space="0"/>
            </w:tcBorders>
            <w:shd w:val="clear" w:color="auto" w:fill="auto"/>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腕带打印机</w:t>
            </w:r>
          </w:p>
        </w:tc>
        <w:tc>
          <w:tcPr>
            <w:tcW w:w="1576" w:type="dxa"/>
            <w:tcBorders>
              <w:top w:val="nil"/>
              <w:left w:val="nil"/>
              <w:bottom w:val="single" w:color="000000" w:sz="8" w:space="0"/>
              <w:right w:val="single" w:color="000000"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nil"/>
              <w:left w:val="nil"/>
              <w:bottom w:val="single" w:color="000000" w:sz="8" w:space="0"/>
              <w:right w:val="single" w:color="auto"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20</w:t>
            </w:r>
          </w:p>
        </w:tc>
      </w:tr>
      <w:tr>
        <w:tblPrEx>
          <w:tblCellMar>
            <w:top w:w="0" w:type="dxa"/>
            <w:left w:w="108" w:type="dxa"/>
            <w:bottom w:w="0" w:type="dxa"/>
            <w:right w:w="108" w:type="dxa"/>
          </w:tblCellMar>
        </w:tblPrEx>
        <w:trPr>
          <w:trHeight w:val="317" w:hRule="atLeast"/>
          <w:jc w:val="center"/>
        </w:trPr>
        <w:tc>
          <w:tcPr>
            <w:tcW w:w="1556"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default"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3</w:t>
            </w:r>
          </w:p>
        </w:tc>
        <w:tc>
          <w:tcPr>
            <w:tcW w:w="3129" w:type="dxa"/>
            <w:tcBorders>
              <w:top w:val="nil"/>
              <w:left w:val="nil"/>
              <w:bottom w:val="single" w:color="auto" w:sz="8" w:space="0"/>
              <w:right w:val="single" w:color="000000" w:sz="8" w:space="0"/>
            </w:tcBorders>
            <w:shd w:val="clear" w:color="auto" w:fill="auto"/>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手持终端</w:t>
            </w:r>
          </w:p>
        </w:tc>
        <w:tc>
          <w:tcPr>
            <w:tcW w:w="1576" w:type="dxa"/>
            <w:tcBorders>
              <w:top w:val="nil"/>
              <w:left w:val="nil"/>
              <w:bottom w:val="single" w:color="000000" w:sz="8" w:space="0"/>
              <w:right w:val="single" w:color="000000"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nil"/>
              <w:left w:val="nil"/>
              <w:bottom w:val="single" w:color="000000" w:sz="8" w:space="0"/>
              <w:right w:val="single" w:color="auto"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20</w:t>
            </w:r>
          </w:p>
        </w:tc>
      </w:tr>
      <w:tr>
        <w:tblPrEx>
          <w:tblCellMar>
            <w:top w:w="0" w:type="dxa"/>
            <w:left w:w="108" w:type="dxa"/>
            <w:bottom w:w="0" w:type="dxa"/>
            <w:right w:w="108" w:type="dxa"/>
          </w:tblCellMar>
        </w:tblPrEx>
        <w:trPr>
          <w:trHeight w:val="317" w:hRule="atLeast"/>
          <w:jc w:val="center"/>
        </w:trPr>
        <w:tc>
          <w:tcPr>
            <w:tcW w:w="1556"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default"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4</w:t>
            </w:r>
          </w:p>
        </w:tc>
        <w:tc>
          <w:tcPr>
            <w:tcW w:w="3129" w:type="dxa"/>
            <w:tcBorders>
              <w:top w:val="nil"/>
              <w:left w:val="nil"/>
              <w:bottom w:val="single" w:color="auto" w:sz="8" w:space="0"/>
              <w:right w:val="single" w:color="000000" w:sz="8" w:space="0"/>
            </w:tcBorders>
            <w:shd w:val="clear" w:color="auto" w:fill="auto"/>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喷墨打印机</w:t>
            </w:r>
          </w:p>
        </w:tc>
        <w:tc>
          <w:tcPr>
            <w:tcW w:w="1576" w:type="dxa"/>
            <w:tcBorders>
              <w:top w:val="nil"/>
              <w:left w:val="nil"/>
              <w:bottom w:val="single" w:color="000000" w:sz="8" w:space="0"/>
              <w:right w:val="single" w:color="000000"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nil"/>
              <w:left w:val="nil"/>
              <w:bottom w:val="single" w:color="000000" w:sz="8" w:space="0"/>
              <w:right w:val="single" w:color="auto"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10</w:t>
            </w:r>
          </w:p>
        </w:tc>
      </w:tr>
      <w:tr>
        <w:tblPrEx>
          <w:tblCellMar>
            <w:top w:w="0" w:type="dxa"/>
            <w:left w:w="108" w:type="dxa"/>
            <w:bottom w:w="0" w:type="dxa"/>
            <w:right w:w="108" w:type="dxa"/>
          </w:tblCellMar>
        </w:tblPrEx>
        <w:trPr>
          <w:trHeight w:val="317" w:hRule="atLeast"/>
          <w:jc w:val="center"/>
        </w:trPr>
        <w:tc>
          <w:tcPr>
            <w:tcW w:w="1556"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default"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5</w:t>
            </w:r>
          </w:p>
        </w:tc>
        <w:tc>
          <w:tcPr>
            <w:tcW w:w="3129" w:type="dxa"/>
            <w:tcBorders>
              <w:top w:val="nil"/>
              <w:left w:val="nil"/>
              <w:bottom w:val="single" w:color="auto" w:sz="8" w:space="0"/>
              <w:right w:val="single" w:color="000000" w:sz="8" w:space="0"/>
            </w:tcBorders>
            <w:shd w:val="clear" w:color="auto" w:fill="auto"/>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多功能激光打印机</w:t>
            </w:r>
          </w:p>
        </w:tc>
        <w:tc>
          <w:tcPr>
            <w:tcW w:w="1576" w:type="dxa"/>
            <w:tcBorders>
              <w:top w:val="nil"/>
              <w:left w:val="nil"/>
              <w:bottom w:val="single" w:color="000000" w:sz="8" w:space="0"/>
              <w:right w:val="single" w:color="000000"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nil"/>
              <w:left w:val="nil"/>
              <w:bottom w:val="single" w:color="000000" w:sz="8" w:space="0"/>
              <w:right w:val="single" w:color="auto"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10</w:t>
            </w:r>
          </w:p>
        </w:tc>
      </w:tr>
      <w:tr>
        <w:tblPrEx>
          <w:tblCellMar>
            <w:top w:w="0" w:type="dxa"/>
            <w:left w:w="108" w:type="dxa"/>
            <w:bottom w:w="0" w:type="dxa"/>
            <w:right w:w="108" w:type="dxa"/>
          </w:tblCellMar>
        </w:tblPrEx>
        <w:trPr>
          <w:trHeight w:val="317" w:hRule="atLeast"/>
          <w:jc w:val="center"/>
        </w:trPr>
        <w:tc>
          <w:tcPr>
            <w:tcW w:w="1556" w:type="dxa"/>
            <w:tcBorders>
              <w:top w:val="nil"/>
              <w:left w:val="single" w:color="auto" w:sz="8" w:space="0"/>
              <w:bottom w:val="single" w:color="auto" w:sz="4" w:space="0"/>
              <w:right w:val="single" w:color="auto" w:sz="8" w:space="0"/>
            </w:tcBorders>
            <w:shd w:val="clear" w:color="auto" w:fill="auto"/>
            <w:noWrap/>
            <w:vAlign w:val="center"/>
          </w:tcPr>
          <w:p>
            <w:pPr>
              <w:widowControl/>
              <w:jc w:val="center"/>
              <w:rPr>
                <w:rFonts w:hint="default"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6</w:t>
            </w:r>
          </w:p>
        </w:tc>
        <w:tc>
          <w:tcPr>
            <w:tcW w:w="3129" w:type="dxa"/>
            <w:tcBorders>
              <w:top w:val="nil"/>
              <w:left w:val="nil"/>
              <w:bottom w:val="single" w:color="auto" w:sz="4" w:space="0"/>
              <w:right w:val="single" w:color="000000" w:sz="8" w:space="0"/>
            </w:tcBorders>
            <w:shd w:val="clear" w:color="auto" w:fill="auto"/>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投影仪</w:t>
            </w:r>
          </w:p>
        </w:tc>
        <w:tc>
          <w:tcPr>
            <w:tcW w:w="1576" w:type="dxa"/>
            <w:tcBorders>
              <w:top w:val="nil"/>
              <w:left w:val="nil"/>
              <w:bottom w:val="single" w:color="auto" w:sz="4" w:space="0"/>
              <w:right w:val="single" w:color="000000"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nil"/>
              <w:left w:val="nil"/>
              <w:bottom w:val="single" w:color="auto" w:sz="4" w:space="0"/>
              <w:right w:val="single" w:color="auto" w:sz="8" w:space="0"/>
            </w:tcBorders>
            <w:shd w:val="clear" w:color="000000" w:fill="FFFFFF"/>
            <w:noWrap w:val="0"/>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Cs w:val="21"/>
                <w:lang w:val="en-US" w:eastAsia="zh-CN"/>
              </w:rPr>
              <w:t>5</w:t>
            </w:r>
          </w:p>
        </w:tc>
      </w:tr>
      <w:tr>
        <w:tblPrEx>
          <w:tblCellMar>
            <w:top w:w="0" w:type="dxa"/>
            <w:left w:w="108" w:type="dxa"/>
            <w:bottom w:w="0" w:type="dxa"/>
            <w:right w:w="108" w:type="dxa"/>
          </w:tblCellMar>
        </w:tblPrEx>
        <w:trPr>
          <w:trHeight w:val="317" w:hRule="atLeast"/>
          <w:jc w:val="center"/>
        </w:trPr>
        <w:tc>
          <w:tcPr>
            <w:tcW w:w="15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7</w:t>
            </w:r>
          </w:p>
        </w:tc>
        <w:tc>
          <w:tcPr>
            <w:tcW w:w="312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针式打印机</w:t>
            </w:r>
          </w:p>
        </w:tc>
        <w:tc>
          <w:tcPr>
            <w:tcW w:w="157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台</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5</w:t>
            </w:r>
          </w:p>
        </w:tc>
      </w:tr>
      <w:tr>
        <w:tblPrEx>
          <w:tblCellMar>
            <w:top w:w="0" w:type="dxa"/>
            <w:left w:w="108" w:type="dxa"/>
            <w:bottom w:w="0" w:type="dxa"/>
            <w:right w:w="108" w:type="dxa"/>
          </w:tblCellMar>
        </w:tblPrEx>
        <w:trPr>
          <w:trHeight w:val="317" w:hRule="atLeast"/>
          <w:jc w:val="center"/>
        </w:trPr>
        <w:tc>
          <w:tcPr>
            <w:tcW w:w="1556" w:type="dxa"/>
            <w:tcBorders>
              <w:top w:val="single" w:color="auto" w:sz="4" w:space="0"/>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8</w:t>
            </w:r>
          </w:p>
        </w:tc>
        <w:tc>
          <w:tcPr>
            <w:tcW w:w="3129" w:type="dxa"/>
            <w:tcBorders>
              <w:top w:val="single" w:color="auto" w:sz="4" w:space="0"/>
              <w:left w:val="nil"/>
              <w:bottom w:val="single" w:color="auto" w:sz="8" w:space="0"/>
              <w:right w:val="single" w:color="000000" w:sz="8" w:space="0"/>
            </w:tcBorders>
            <w:shd w:val="clear" w:color="auto" w:fill="auto"/>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相机</w:t>
            </w:r>
          </w:p>
        </w:tc>
        <w:tc>
          <w:tcPr>
            <w:tcW w:w="1576" w:type="dxa"/>
            <w:tcBorders>
              <w:top w:val="single" w:color="auto" w:sz="4" w:space="0"/>
              <w:left w:val="nil"/>
              <w:bottom w:val="single" w:color="000000" w:sz="8" w:space="0"/>
              <w:right w:val="single" w:color="000000"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套</w:t>
            </w:r>
          </w:p>
        </w:tc>
        <w:tc>
          <w:tcPr>
            <w:tcW w:w="1559" w:type="dxa"/>
            <w:tcBorders>
              <w:top w:val="single" w:color="auto" w:sz="4" w:space="0"/>
              <w:left w:val="nil"/>
              <w:bottom w:val="single" w:color="000000" w:sz="8" w:space="0"/>
              <w:right w:val="single" w:color="auto"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1</w:t>
            </w:r>
          </w:p>
        </w:tc>
      </w:tr>
      <w:tr>
        <w:tblPrEx>
          <w:tblCellMar>
            <w:top w:w="0" w:type="dxa"/>
            <w:left w:w="108" w:type="dxa"/>
            <w:bottom w:w="0" w:type="dxa"/>
            <w:right w:w="108" w:type="dxa"/>
          </w:tblCellMar>
        </w:tblPrEx>
        <w:trPr>
          <w:trHeight w:val="317" w:hRule="atLeast"/>
          <w:jc w:val="center"/>
        </w:trPr>
        <w:tc>
          <w:tcPr>
            <w:tcW w:w="1556"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Cs w:val="21"/>
                <w:lang w:val="en-US" w:eastAsia="zh-CN"/>
              </w:rPr>
              <w:t>9</w:t>
            </w:r>
          </w:p>
        </w:tc>
        <w:tc>
          <w:tcPr>
            <w:tcW w:w="3129" w:type="dxa"/>
            <w:tcBorders>
              <w:top w:val="nil"/>
              <w:left w:val="nil"/>
              <w:bottom w:val="single" w:color="auto" w:sz="8" w:space="0"/>
              <w:right w:val="single" w:color="000000" w:sz="8" w:space="0"/>
            </w:tcBorders>
            <w:shd w:val="clear" w:color="auto" w:fill="auto"/>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led屏（约4平米）</w:t>
            </w:r>
          </w:p>
        </w:tc>
        <w:tc>
          <w:tcPr>
            <w:tcW w:w="1576" w:type="dxa"/>
            <w:tcBorders>
              <w:top w:val="nil"/>
              <w:left w:val="nil"/>
              <w:bottom w:val="single" w:color="000000" w:sz="8" w:space="0"/>
              <w:right w:val="single" w:color="000000"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项</w:t>
            </w:r>
          </w:p>
        </w:tc>
        <w:tc>
          <w:tcPr>
            <w:tcW w:w="1559" w:type="dxa"/>
            <w:tcBorders>
              <w:top w:val="nil"/>
              <w:left w:val="nil"/>
              <w:bottom w:val="single" w:color="000000" w:sz="8" w:space="0"/>
              <w:right w:val="single" w:color="auto" w:sz="8" w:space="0"/>
            </w:tcBorders>
            <w:shd w:val="clear" w:color="000000" w:fill="FFFFFF"/>
            <w:noWrap w:val="0"/>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Cs w:val="21"/>
                <w:lang w:val="en-US" w:eastAsia="zh-CN"/>
              </w:rPr>
              <w:t>1</w:t>
            </w:r>
          </w:p>
        </w:tc>
      </w:tr>
      <w:tr>
        <w:tblPrEx>
          <w:tblCellMar>
            <w:top w:w="0" w:type="dxa"/>
            <w:left w:w="108" w:type="dxa"/>
            <w:bottom w:w="0" w:type="dxa"/>
            <w:right w:w="108" w:type="dxa"/>
          </w:tblCellMar>
        </w:tblPrEx>
        <w:trPr>
          <w:trHeight w:val="340" w:hRule="atLeast"/>
          <w:jc w:val="center"/>
        </w:trPr>
        <w:tc>
          <w:tcPr>
            <w:tcW w:w="6261" w:type="dxa"/>
            <w:gridSpan w:val="3"/>
            <w:tcBorders>
              <w:top w:val="nil"/>
              <w:left w:val="single" w:color="auto" w:sz="8" w:space="0"/>
              <w:bottom w:val="single" w:color="auto" w:sz="8" w:space="0"/>
              <w:right w:val="single" w:color="auto" w:sz="8" w:space="0"/>
            </w:tcBorders>
            <w:noWrap/>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合 计</w:t>
            </w:r>
          </w:p>
        </w:tc>
        <w:tc>
          <w:tcPr>
            <w:tcW w:w="1559" w:type="dxa"/>
            <w:tcBorders>
              <w:top w:val="nil"/>
              <w:left w:val="nil"/>
              <w:bottom w:val="single" w:color="auto" w:sz="8" w:space="0"/>
              <w:right w:val="single" w:color="auto" w:sz="8" w:space="0"/>
            </w:tcBorders>
            <w:noWrap w:val="0"/>
            <w:vAlign w:val="center"/>
          </w:tcPr>
          <w:p>
            <w:pPr>
              <w:widowControl/>
              <w:jc w:val="center"/>
              <w:rPr>
                <w:rFonts w:hint="default" w:ascii="宋体" w:hAnsi="宋体" w:eastAsia="宋体" w:cs="宋体"/>
                <w:b/>
                <w:bCs/>
                <w:color w:val="auto"/>
                <w:kern w:val="0"/>
                <w:sz w:val="24"/>
                <w:szCs w:val="24"/>
                <w:lang w:val="en-US" w:eastAsia="zh-CN"/>
              </w:rPr>
            </w:pPr>
            <w:r>
              <w:rPr>
                <w:rFonts w:hint="eastAsia" w:ascii="宋体" w:hAnsi="宋体" w:eastAsia="宋体" w:cs="宋体"/>
                <w:b/>
                <w:bCs/>
                <w:color w:val="auto"/>
                <w:kern w:val="0"/>
                <w:sz w:val="24"/>
                <w:szCs w:val="24"/>
                <w:lang w:val="en-US" w:eastAsia="zh-CN"/>
              </w:rPr>
              <w:t>92</w:t>
            </w:r>
          </w:p>
        </w:tc>
      </w:tr>
    </w:tbl>
    <w:p/>
    <w:p>
      <w:pPr>
        <w:pStyle w:val="2"/>
      </w:pPr>
    </w:p>
    <w:p>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55" w:leftChars="0" w:right="0" w:rightChars="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数据中心及网络安全建设项目</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default" w:ascii="仿宋" w:hAnsi="仿宋" w:eastAsia="仿宋" w:cs="仿宋"/>
          <w:i w:val="0"/>
          <w:caps w:val="0"/>
          <w:color w:val="333333"/>
          <w:spacing w:val="0"/>
          <w:sz w:val="28"/>
          <w:szCs w:val="28"/>
          <w:shd w:val="clear" w:fill="FFFFFF"/>
          <w:lang w:val="en-US" w:eastAsia="zh-CN"/>
        </w:rPr>
        <w:t>1、针对我院业务系统、数据中心、存储设备等网络进行网络安全隔离，划分清晰的安全边界；</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漏洞扫描系统一套（包含硬件）：帮助医院</w:t>
      </w:r>
      <w:r>
        <w:rPr>
          <w:rFonts w:hint="default" w:ascii="仿宋" w:hAnsi="仿宋" w:eastAsia="仿宋" w:cs="仿宋"/>
          <w:i w:val="0"/>
          <w:caps w:val="0"/>
          <w:color w:val="333333"/>
          <w:spacing w:val="0"/>
          <w:sz w:val="28"/>
          <w:szCs w:val="28"/>
          <w:shd w:val="clear" w:fill="FFFFFF"/>
          <w:lang w:val="en-US" w:eastAsia="zh-CN"/>
        </w:rPr>
        <w:t>安全检测</w:t>
      </w:r>
      <w:r>
        <w:rPr>
          <w:rFonts w:hint="eastAsia" w:ascii="仿宋" w:hAnsi="仿宋" w:eastAsia="仿宋" w:cs="仿宋"/>
          <w:i w:val="0"/>
          <w:caps w:val="0"/>
          <w:color w:val="333333"/>
          <w:spacing w:val="0"/>
          <w:sz w:val="28"/>
          <w:szCs w:val="28"/>
          <w:shd w:val="clear" w:fill="FFFFFF"/>
          <w:lang w:val="en-US" w:eastAsia="zh-CN"/>
        </w:rPr>
        <w:t>，</w:t>
      </w:r>
      <w:r>
        <w:rPr>
          <w:rFonts w:hint="default" w:ascii="仿宋" w:hAnsi="仿宋" w:eastAsia="仿宋" w:cs="仿宋"/>
          <w:i w:val="0"/>
          <w:caps w:val="0"/>
          <w:color w:val="333333"/>
          <w:spacing w:val="0"/>
          <w:sz w:val="28"/>
          <w:szCs w:val="28"/>
          <w:shd w:val="clear" w:fill="FFFFFF"/>
          <w:lang w:val="en-US" w:eastAsia="zh-CN"/>
        </w:rPr>
        <w:t>最大可能的消除安全隐患，尽可能早地发现安全漏洞并进行修补</w:t>
      </w:r>
      <w:r>
        <w:rPr>
          <w:rFonts w:hint="eastAsia" w:ascii="仿宋" w:hAnsi="仿宋" w:eastAsia="仿宋" w:cs="仿宋"/>
          <w:i w:val="0"/>
          <w:caps w:val="0"/>
          <w:color w:val="333333"/>
          <w:spacing w:val="0"/>
          <w:sz w:val="28"/>
          <w:szCs w:val="28"/>
          <w:shd w:val="clear" w:fill="FFFFFF"/>
          <w:lang w:val="en-US" w:eastAsia="zh-CN"/>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包括网闸系统一套（包含硬件）：帮助医院在内外网之间构建可靠的安全隔离区，保障医院内外网之间可以安全的通信，吞吐量需≥700M。</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2、</w:t>
      </w:r>
      <w:r>
        <w:rPr>
          <w:rFonts w:hint="default" w:ascii="仿宋" w:hAnsi="仿宋" w:eastAsia="仿宋" w:cs="仿宋"/>
          <w:i w:val="0"/>
          <w:caps w:val="0"/>
          <w:color w:val="333333"/>
          <w:spacing w:val="0"/>
          <w:sz w:val="28"/>
          <w:szCs w:val="28"/>
          <w:shd w:val="clear" w:fill="FFFFFF"/>
          <w:lang w:val="en-US" w:eastAsia="zh-CN"/>
        </w:rPr>
        <w:t>针对</w:t>
      </w:r>
      <w:r>
        <w:rPr>
          <w:rFonts w:hint="eastAsia" w:ascii="仿宋" w:hAnsi="仿宋" w:eastAsia="仿宋" w:cs="仿宋"/>
          <w:i w:val="0"/>
          <w:caps w:val="0"/>
          <w:color w:val="333333"/>
          <w:spacing w:val="0"/>
          <w:sz w:val="28"/>
          <w:szCs w:val="28"/>
          <w:shd w:val="clear" w:fill="FFFFFF"/>
          <w:lang w:val="en-US" w:eastAsia="zh-CN"/>
        </w:rPr>
        <w:t>核心业务系统，</w:t>
      </w:r>
      <w:r>
        <w:rPr>
          <w:rFonts w:hint="default" w:ascii="仿宋" w:hAnsi="仿宋" w:eastAsia="仿宋" w:cs="仿宋"/>
          <w:i w:val="0"/>
          <w:caps w:val="0"/>
          <w:color w:val="333333"/>
          <w:spacing w:val="0"/>
          <w:sz w:val="28"/>
          <w:szCs w:val="28"/>
          <w:shd w:val="clear" w:fill="FFFFFF"/>
          <w:lang w:val="en-US" w:eastAsia="zh-CN"/>
        </w:rPr>
        <w:t>搭建稳定、可靠、高效的网络安全</w:t>
      </w:r>
      <w:r>
        <w:rPr>
          <w:rFonts w:hint="eastAsia" w:ascii="仿宋" w:hAnsi="仿宋" w:eastAsia="仿宋" w:cs="仿宋"/>
          <w:i w:val="0"/>
          <w:caps w:val="0"/>
          <w:color w:val="333333"/>
          <w:spacing w:val="0"/>
          <w:sz w:val="28"/>
          <w:szCs w:val="28"/>
          <w:shd w:val="clear" w:fill="FFFFFF"/>
          <w:lang w:val="en-US" w:eastAsia="zh-CN"/>
        </w:rPr>
        <w:t>监测</w:t>
      </w:r>
      <w:r>
        <w:rPr>
          <w:rFonts w:hint="default" w:ascii="仿宋" w:hAnsi="仿宋" w:eastAsia="仿宋" w:cs="仿宋"/>
          <w:i w:val="0"/>
          <w:caps w:val="0"/>
          <w:color w:val="333333"/>
          <w:spacing w:val="0"/>
          <w:sz w:val="28"/>
          <w:szCs w:val="28"/>
          <w:shd w:val="clear" w:fill="FFFFFF"/>
          <w:lang w:val="en-US" w:eastAsia="zh-CN"/>
        </w:rPr>
        <w:t>体系，进一步满足国家相关法律法规，各类评审、检查以及等保测评（至少三级）对于医院网络安全建设的合规要求；</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包括态势感知平台系统一套（包含分析平台及探针硬件）：帮助医院针对核心业务系统，</w:t>
      </w:r>
      <w:r>
        <w:rPr>
          <w:rFonts w:hint="default" w:ascii="仿宋" w:hAnsi="仿宋" w:eastAsia="仿宋" w:cs="仿宋"/>
          <w:i w:val="0"/>
          <w:caps w:val="0"/>
          <w:color w:val="333333"/>
          <w:spacing w:val="0"/>
          <w:sz w:val="28"/>
          <w:szCs w:val="28"/>
          <w:shd w:val="clear" w:fill="FFFFFF"/>
          <w:lang w:val="en-US" w:eastAsia="zh-CN"/>
        </w:rPr>
        <w:t>搭建稳定、可靠、高效的网络安全</w:t>
      </w:r>
      <w:r>
        <w:rPr>
          <w:rFonts w:hint="eastAsia" w:ascii="仿宋" w:hAnsi="仿宋" w:eastAsia="仿宋" w:cs="仿宋"/>
          <w:i w:val="0"/>
          <w:caps w:val="0"/>
          <w:color w:val="333333"/>
          <w:spacing w:val="0"/>
          <w:sz w:val="28"/>
          <w:szCs w:val="28"/>
          <w:shd w:val="clear" w:fill="FFFFFF"/>
          <w:lang w:val="en-US" w:eastAsia="zh-CN"/>
        </w:rPr>
        <w:t>监测</w:t>
      </w:r>
      <w:r>
        <w:rPr>
          <w:rFonts w:hint="default" w:ascii="仿宋" w:hAnsi="仿宋" w:eastAsia="仿宋" w:cs="仿宋"/>
          <w:i w:val="0"/>
          <w:caps w:val="0"/>
          <w:color w:val="333333"/>
          <w:spacing w:val="0"/>
          <w:sz w:val="28"/>
          <w:szCs w:val="28"/>
          <w:shd w:val="clear" w:fill="FFFFFF"/>
          <w:lang w:val="en-US" w:eastAsia="zh-CN"/>
        </w:rPr>
        <w:t>体系</w:t>
      </w:r>
      <w:r>
        <w:rPr>
          <w:rFonts w:hint="eastAsia" w:ascii="仿宋" w:hAnsi="仿宋" w:eastAsia="仿宋" w:cs="仿宋"/>
          <w:i w:val="0"/>
          <w:caps w:val="0"/>
          <w:color w:val="333333"/>
          <w:spacing w:val="0"/>
          <w:sz w:val="28"/>
          <w:szCs w:val="28"/>
          <w:shd w:val="clear" w:fill="FFFFFF"/>
          <w:lang w:val="en-US" w:eastAsia="zh-CN"/>
        </w:rPr>
        <w:t>，以便在安全事件发生时，可以及时的发现，并且可以追根溯源。</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3、针对在用设备延长其维保及特征库升级服务</w:t>
      </w:r>
      <w:r>
        <w:rPr>
          <w:rFonts w:hint="default" w:ascii="仿宋" w:hAnsi="仿宋" w:eastAsia="仿宋" w:cs="仿宋"/>
          <w:i w:val="0"/>
          <w:caps w:val="0"/>
          <w:color w:val="333333"/>
          <w:spacing w:val="0"/>
          <w:sz w:val="28"/>
          <w:szCs w:val="28"/>
          <w:shd w:val="clear" w:fill="FFFFFF"/>
          <w:lang w:val="en-US" w:eastAsia="zh-CN"/>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包括终端安全管理系统，漏洞扫描系统等延长其维保及特征库升级服务。</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4、针对核心业务系统，搭建完善的审计体系，保障事前可预防、事中有告警、事后能追溯</w:t>
      </w:r>
      <w:r>
        <w:rPr>
          <w:rFonts w:hint="default" w:ascii="仿宋" w:hAnsi="仿宋" w:eastAsia="仿宋" w:cs="仿宋"/>
          <w:i w:val="0"/>
          <w:caps w:val="0"/>
          <w:color w:val="333333"/>
          <w:spacing w:val="0"/>
          <w:sz w:val="28"/>
          <w:szCs w:val="28"/>
          <w:shd w:val="clear" w:fill="FFFFFF"/>
          <w:lang w:val="en-US" w:eastAsia="zh-CN"/>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包括数据库审计系统一套（包含硬件）：数据库审计对数据库访问行为进行监管，事后溯源取证。同时为满足等级保护测评、智慧医院评审的合规要求。要求峰值事件处理性能≥10000条/秒，需支持多种主流数据库</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包括日志审计系统一套（包含硬件）：审计通过对采集到的不同类型的日志和事件信息进行标准化（归一化）和实时关联分析，同时为满足网络安全法、等级保护测评、智慧医院评审等对于日志留存和审计的合规要求。要求综合日志处理性能≥3000条/秒，日志源授权数≥75个</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包括堡垒机系统一套（包含硬件）：运维审计对运维人员操作行为进行权限鉴别，进行安全控制。同时为满足等级保护测评、智慧医院评审的合规要求。要求被管理授权≥50个</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5、</w:t>
      </w:r>
      <w:r>
        <w:rPr>
          <w:rFonts w:hint="default" w:ascii="仿宋" w:hAnsi="仿宋" w:eastAsia="仿宋" w:cs="仿宋"/>
          <w:i w:val="0"/>
          <w:caps w:val="0"/>
          <w:color w:val="333333"/>
          <w:spacing w:val="0"/>
          <w:sz w:val="28"/>
          <w:szCs w:val="28"/>
          <w:shd w:val="clear" w:fill="FFFFFF"/>
          <w:lang w:val="en-US" w:eastAsia="zh-CN"/>
        </w:rPr>
        <w:t>结合现有的数据中心和存储，</w:t>
      </w:r>
      <w:r>
        <w:rPr>
          <w:rFonts w:hint="eastAsia" w:ascii="仿宋" w:hAnsi="仿宋" w:eastAsia="仿宋" w:cs="仿宋"/>
          <w:i w:val="0"/>
          <w:caps w:val="0"/>
          <w:color w:val="333333"/>
          <w:spacing w:val="0"/>
          <w:sz w:val="28"/>
          <w:szCs w:val="28"/>
          <w:shd w:val="clear" w:fill="FFFFFF"/>
          <w:lang w:val="en-US" w:eastAsia="zh-CN"/>
        </w:rPr>
        <w:t>建设备份冗余机制，使整个医院系统运行不存在单点故障。</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6、</w:t>
      </w:r>
      <w:r>
        <w:rPr>
          <w:rFonts w:hint="default" w:ascii="仿宋" w:hAnsi="仿宋" w:eastAsia="仿宋" w:cs="仿宋"/>
          <w:i w:val="0"/>
          <w:caps w:val="0"/>
          <w:color w:val="333333"/>
          <w:spacing w:val="0"/>
          <w:sz w:val="28"/>
          <w:szCs w:val="28"/>
          <w:shd w:val="clear" w:fill="FFFFFF"/>
          <w:lang w:val="en-US" w:eastAsia="zh-CN"/>
        </w:rPr>
        <w:t>配套相关的数据交互设备和配件。</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7、</w:t>
      </w:r>
      <w:r>
        <w:rPr>
          <w:rFonts w:hint="default" w:ascii="仿宋" w:hAnsi="仿宋" w:eastAsia="仿宋" w:cs="仿宋"/>
          <w:i w:val="0"/>
          <w:caps w:val="0"/>
          <w:color w:val="333333"/>
          <w:spacing w:val="0"/>
          <w:sz w:val="28"/>
          <w:szCs w:val="28"/>
          <w:shd w:val="clear" w:fill="FFFFFF"/>
          <w:lang w:val="en-US" w:eastAsia="zh-CN"/>
        </w:rPr>
        <w:t>完成既有数据中心系统平稳迁移工作</w:t>
      </w:r>
      <w:r>
        <w:rPr>
          <w:rFonts w:hint="eastAsia" w:ascii="仿宋" w:hAnsi="仿宋" w:eastAsia="仿宋" w:cs="仿宋"/>
          <w:i w:val="0"/>
          <w:caps w:val="0"/>
          <w:color w:val="333333"/>
          <w:spacing w:val="0"/>
          <w:sz w:val="28"/>
          <w:szCs w:val="28"/>
          <w:shd w:val="clear" w:fill="FFFFFF"/>
          <w:lang w:val="en-US" w:eastAsia="zh-CN"/>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8、数据中心要求总计算资源≥184C，总内存≥3.25TB，存储可用容量≥290TB。</w:t>
      </w:r>
    </w:p>
    <w:p>
      <w:pPr>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p>
    <w:p>
      <w:pPr>
        <w:numPr>
          <w:ilvl w:val="0"/>
          <w:numId w:val="3"/>
        </w:numPr>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智慧医院建设项目（一期）</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tbl>
      <w:tblPr>
        <w:tblStyle w:val="7"/>
        <w:tblW w:w="8038" w:type="dxa"/>
        <w:jc w:val="center"/>
        <w:tblLayout w:type="fixed"/>
        <w:tblCellMar>
          <w:top w:w="0" w:type="dxa"/>
          <w:left w:w="108" w:type="dxa"/>
          <w:bottom w:w="0" w:type="dxa"/>
          <w:right w:w="108" w:type="dxa"/>
        </w:tblCellMar>
      </w:tblPr>
      <w:tblGrid>
        <w:gridCol w:w="1447"/>
        <w:gridCol w:w="3171"/>
        <w:gridCol w:w="1212"/>
        <w:gridCol w:w="2208"/>
      </w:tblGrid>
      <w:tr>
        <w:tblPrEx>
          <w:tblCellMar>
            <w:top w:w="0" w:type="dxa"/>
            <w:left w:w="108" w:type="dxa"/>
            <w:bottom w:w="0" w:type="dxa"/>
            <w:right w:w="108" w:type="dxa"/>
          </w:tblCellMar>
        </w:tblPrEx>
        <w:trPr>
          <w:trHeight w:val="342" w:hRule="atLeast"/>
          <w:jc w:val="center"/>
        </w:trPr>
        <w:tc>
          <w:tcPr>
            <w:tcW w:w="1447"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pPr>
              <w:jc w:val="center"/>
              <w:rPr>
                <w:rFonts w:ascii="宋体" w:hAnsi="宋体"/>
                <w:b/>
              </w:rPr>
            </w:pPr>
            <w:r>
              <w:rPr>
                <w:rFonts w:hint="eastAsia" w:ascii="宋体" w:hAnsi="宋体"/>
                <w:b/>
              </w:rPr>
              <w:t>序号</w:t>
            </w:r>
          </w:p>
        </w:tc>
        <w:tc>
          <w:tcPr>
            <w:tcW w:w="3171" w:type="dxa"/>
            <w:tcBorders>
              <w:top w:val="single" w:color="000000" w:sz="4" w:space="0"/>
              <w:left w:val="nil"/>
              <w:bottom w:val="single" w:color="auto" w:sz="4" w:space="0"/>
              <w:right w:val="single" w:color="000000" w:sz="4" w:space="0"/>
            </w:tcBorders>
            <w:shd w:val="clear" w:color="FFFF99" w:fill="FFFFFF"/>
            <w:noWrap w:val="0"/>
            <w:vAlign w:val="center"/>
          </w:tcPr>
          <w:p>
            <w:pPr>
              <w:ind w:left="0" w:leftChars="0" w:firstLine="0" w:firstLineChars="0"/>
              <w:jc w:val="center"/>
              <w:rPr>
                <w:rFonts w:ascii="宋体" w:hAnsi="宋体"/>
                <w:b/>
              </w:rPr>
            </w:pPr>
            <w:r>
              <w:rPr>
                <w:rFonts w:hint="eastAsia" w:ascii="宋体" w:hAnsi="宋体"/>
                <w:b/>
              </w:rPr>
              <w:t>项目名称</w:t>
            </w:r>
          </w:p>
        </w:tc>
        <w:tc>
          <w:tcPr>
            <w:tcW w:w="1212" w:type="dxa"/>
            <w:tcBorders>
              <w:top w:val="single" w:color="000000" w:sz="4" w:space="0"/>
              <w:left w:val="nil"/>
              <w:bottom w:val="single" w:color="000000" w:sz="4" w:space="0"/>
              <w:right w:val="single" w:color="000000" w:sz="4" w:space="0"/>
            </w:tcBorders>
            <w:shd w:val="clear" w:color="FFFF99" w:fill="FFFFFF"/>
            <w:noWrap w:val="0"/>
            <w:vAlign w:val="center"/>
          </w:tcPr>
          <w:p>
            <w:pPr>
              <w:ind w:left="0" w:leftChars="0" w:firstLine="0" w:firstLineChars="0"/>
              <w:jc w:val="center"/>
              <w:rPr>
                <w:rFonts w:hint="eastAsia" w:ascii="宋体" w:hAnsi="宋体" w:eastAsiaTheme="minorEastAsia"/>
                <w:b/>
                <w:lang w:val="en-US" w:eastAsia="zh-CN"/>
              </w:rPr>
            </w:pPr>
            <w:r>
              <w:rPr>
                <w:rFonts w:hint="eastAsia" w:ascii="宋体" w:hAnsi="宋体"/>
                <w:b/>
                <w:lang w:val="en-US" w:eastAsia="zh-CN"/>
              </w:rPr>
              <w:t>单位</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ind w:left="0" w:leftChars="0" w:firstLine="0" w:firstLineChars="0"/>
              <w:jc w:val="center"/>
              <w:rPr>
                <w:rFonts w:ascii="宋体" w:hAnsi="宋体"/>
                <w:b/>
              </w:rPr>
            </w:pPr>
            <w:r>
              <w:rPr>
                <w:rFonts w:hint="eastAsia" w:ascii="宋体" w:hAnsi="宋体"/>
                <w:b/>
              </w:rPr>
              <w:t>数量</w:t>
            </w:r>
          </w:p>
        </w:tc>
      </w:tr>
      <w:tr>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eastAsiaTheme="minorEastAsia"/>
                <w:b/>
                <w:lang w:val="en-US" w:eastAsia="zh-CN"/>
              </w:rPr>
            </w:pPr>
            <w:r>
              <w:rPr>
                <w:rFonts w:hint="eastAsia" w:ascii="宋体" w:hAnsi="宋体"/>
                <w:b/>
                <w:lang w:val="en-US" w:eastAsia="zh-CN"/>
              </w:rPr>
              <w:t>1</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智慧门诊管理系统</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2</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诊室显示屏</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60</w:t>
            </w:r>
          </w:p>
        </w:tc>
      </w:tr>
      <w:tr>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3</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候诊专家展示屏</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16</w:t>
            </w:r>
          </w:p>
        </w:tc>
      </w:tr>
      <w:tr>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4</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分诊签到机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10</w:t>
            </w:r>
          </w:p>
        </w:tc>
      </w:tr>
      <w:tr>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5</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智慧床头卡</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tblPrEx>
          <w:tblCellMar>
            <w:top w:w="0" w:type="dxa"/>
            <w:left w:w="108" w:type="dxa"/>
            <w:bottom w:w="0" w:type="dxa"/>
            <w:right w:w="108" w:type="dxa"/>
          </w:tblCellMar>
        </w:tblPrEx>
        <w:trPr>
          <w:trHeight w:val="35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6</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导诊机器人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w:t>
            </w:r>
          </w:p>
        </w:tc>
      </w:tr>
      <w:tr>
        <w:tblPrEx>
          <w:tblCellMar>
            <w:top w:w="0" w:type="dxa"/>
            <w:left w:w="108" w:type="dxa"/>
            <w:bottom w:w="0" w:type="dxa"/>
            <w:right w:w="108" w:type="dxa"/>
          </w:tblCellMar>
        </w:tblPrEx>
        <w:trPr>
          <w:trHeight w:val="35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7</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交换设备</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24</w:t>
            </w:r>
          </w:p>
        </w:tc>
      </w:tr>
      <w:tr>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pPr>
              <w:ind w:left="0" w:leftChars="0" w:firstLine="0" w:firstLineChars="0"/>
              <w:jc w:val="center"/>
              <w:rPr>
                <w:rFonts w:hint="default" w:ascii="宋体" w:hAnsi="宋体"/>
                <w:b/>
                <w:lang w:val="en-US" w:eastAsia="zh-CN"/>
              </w:rPr>
            </w:pPr>
            <w:r>
              <w:rPr>
                <w:rFonts w:hint="eastAsia" w:ascii="宋体" w:hAnsi="宋体"/>
                <w:b/>
                <w:lang w:val="en-US" w:eastAsia="zh-CN"/>
              </w:rPr>
              <w:t>8</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网络布线</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tblPrEx>
          <w:tblCellMar>
            <w:top w:w="0" w:type="dxa"/>
            <w:left w:w="108" w:type="dxa"/>
            <w:bottom w:w="0" w:type="dxa"/>
            <w:right w:w="108" w:type="dxa"/>
          </w:tblCellMar>
        </w:tblPrEx>
        <w:trPr>
          <w:trHeight w:val="372" w:hRule="atLeast"/>
          <w:jc w:val="center"/>
        </w:trPr>
        <w:tc>
          <w:tcPr>
            <w:tcW w:w="8038"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备注：方案设计包含软硬件，方案不限于固定数量及方案设计。</w:t>
            </w:r>
          </w:p>
        </w:tc>
      </w:tr>
    </w:tbl>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55" w:leftChars="0" w:right="0" w:rightChars="0"/>
        <w:jc w:val="both"/>
        <w:rPr>
          <w:rFonts w:hint="default" w:ascii="仿宋" w:hAnsi="仿宋" w:eastAsia="仿宋" w:cs="仿宋"/>
          <w:i w:val="0"/>
          <w:caps w:val="0"/>
          <w:color w:val="333333"/>
          <w:spacing w:val="0"/>
          <w:sz w:val="28"/>
          <w:szCs w:val="28"/>
          <w:shd w:val="clear" w:fill="FFFFFF"/>
          <w:lang w:val="en-US" w:eastAsia="zh-CN"/>
        </w:rPr>
      </w:pPr>
    </w:p>
    <w:p>
      <w:pPr>
        <w:pStyle w:val="5"/>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55" w:leftChars="0" w:right="0" w:rightChars="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信息系统等保测评</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三级等保”是对非银行机构的最高等级保护认证。这一认证由公安机关依据国家信息安全保护条例及相关制度规定，按照管理规范和技术标准，对各机构的信息系统安全等级保护状况进行认可及评定。服务期限：一年。</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测评列表：</w:t>
      </w:r>
    </w:p>
    <w:tbl>
      <w:tblPr>
        <w:tblStyle w:val="7"/>
        <w:tblW w:w="8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377"/>
        <w:gridCol w:w="2377"/>
        <w:gridCol w:w="2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86" w:type="dxa"/>
            <w:shd w:val="clear" w:color="auto" w:fill="FFFFFF"/>
            <w:noWrap w:val="0"/>
            <w:vAlign w:val="center"/>
          </w:tcPr>
          <w:p>
            <w:pPr>
              <w:spacing w:before="120"/>
              <w:ind w:left="0" w:leftChars="0" w:firstLine="0" w:firstLineChars="0"/>
              <w:jc w:val="center"/>
              <w:rPr>
                <w:rFonts w:ascii="宋体" w:hAnsi="宋体" w:cs="仿宋"/>
                <w:b/>
                <w:szCs w:val="21"/>
              </w:rPr>
            </w:pPr>
            <w:r>
              <w:rPr>
                <w:rFonts w:hint="eastAsia" w:ascii="宋体" w:hAnsi="宋体" w:cs="仿宋"/>
                <w:b/>
                <w:szCs w:val="21"/>
              </w:rPr>
              <w:t>序号</w:t>
            </w:r>
          </w:p>
        </w:tc>
        <w:tc>
          <w:tcPr>
            <w:tcW w:w="2377" w:type="dxa"/>
            <w:shd w:val="clear" w:color="auto" w:fill="FFFFFF"/>
            <w:noWrap w:val="0"/>
            <w:vAlign w:val="center"/>
          </w:tcPr>
          <w:p>
            <w:pPr>
              <w:spacing w:before="120"/>
              <w:ind w:left="0" w:leftChars="0" w:firstLine="0" w:firstLineChars="0"/>
              <w:jc w:val="center"/>
              <w:rPr>
                <w:rFonts w:ascii="宋体" w:hAnsi="宋体" w:cs="仿宋"/>
                <w:b/>
                <w:szCs w:val="21"/>
              </w:rPr>
            </w:pPr>
            <w:r>
              <w:rPr>
                <w:rFonts w:hint="eastAsia" w:ascii="宋体" w:hAnsi="宋体" w:cs="仿宋"/>
                <w:b/>
                <w:szCs w:val="21"/>
              </w:rPr>
              <w:t>项目名称</w:t>
            </w:r>
          </w:p>
        </w:tc>
        <w:tc>
          <w:tcPr>
            <w:tcW w:w="2377" w:type="dxa"/>
            <w:shd w:val="clear" w:color="auto" w:fill="FFFFFF"/>
            <w:noWrap w:val="0"/>
            <w:vAlign w:val="center"/>
          </w:tcPr>
          <w:p>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单位</w:t>
            </w:r>
          </w:p>
        </w:tc>
        <w:tc>
          <w:tcPr>
            <w:tcW w:w="2377" w:type="dxa"/>
            <w:shd w:val="clear" w:color="auto" w:fill="FFFFFF"/>
            <w:noWrap w:val="0"/>
            <w:vAlign w:val="center"/>
          </w:tcPr>
          <w:p>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noWrap w:val="0"/>
            <w:vAlign w:val="center"/>
          </w:tcPr>
          <w:p>
            <w:pPr>
              <w:spacing w:before="120"/>
              <w:jc w:val="center"/>
              <w:rPr>
                <w:rFonts w:hint="eastAsia" w:ascii="宋体" w:hAnsi="宋体" w:cs="仿宋" w:eastAsiaTheme="minorEastAsia"/>
                <w:b/>
                <w:szCs w:val="21"/>
                <w:lang w:val="en-US" w:eastAsia="zh-CN"/>
              </w:rPr>
            </w:pPr>
            <w:r>
              <w:rPr>
                <w:rFonts w:hint="eastAsia" w:ascii="宋体" w:hAnsi="宋体" w:cs="仿宋"/>
                <w:b w:val="0"/>
                <w:bCs/>
                <w:szCs w:val="21"/>
                <w:lang w:val="en-US" w:eastAsia="zh-CN"/>
              </w:rPr>
              <w:t>1</w:t>
            </w:r>
          </w:p>
        </w:tc>
        <w:tc>
          <w:tcPr>
            <w:tcW w:w="2377" w:type="dxa"/>
            <w:noWrap w:val="0"/>
            <w:vAlign w:val="center"/>
          </w:tcPr>
          <w:p>
            <w:pPr>
              <w:ind w:left="0" w:leftChars="0" w:firstLine="0" w:firstLineChars="0"/>
              <w:jc w:val="center"/>
              <w:rPr>
                <w:rFonts w:ascii="宋体" w:hAnsi="宋体" w:cs="仿宋"/>
                <w:color w:val="000000"/>
                <w:szCs w:val="21"/>
              </w:rPr>
            </w:pPr>
            <w:r>
              <w:rPr>
                <w:rFonts w:hint="eastAsia" w:ascii="宋体" w:hAnsi="宋体" w:cs="仿宋"/>
                <w:color w:val="000000"/>
                <w:szCs w:val="21"/>
                <w:lang w:val="en-US" w:eastAsia="zh-CN"/>
              </w:rPr>
              <w:t>中联医院信息</w:t>
            </w:r>
            <w:r>
              <w:rPr>
                <w:rFonts w:hint="eastAsia" w:ascii="宋体" w:hAnsi="宋体" w:cs="仿宋"/>
                <w:color w:val="000000"/>
                <w:szCs w:val="21"/>
              </w:rPr>
              <w:t>系统</w:t>
            </w:r>
          </w:p>
        </w:tc>
        <w:tc>
          <w:tcPr>
            <w:tcW w:w="2377" w:type="dxa"/>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套</w:t>
            </w:r>
          </w:p>
        </w:tc>
        <w:tc>
          <w:tcPr>
            <w:tcW w:w="2377" w:type="dxa"/>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2</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PACS系统</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3</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互联网医院信息系统</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4</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医院集成平台</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5</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医院官方网站</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2377" w:type="dxa"/>
            <w:tcBorders>
              <w:top w:val="single" w:color="auto" w:sz="4" w:space="0"/>
              <w:left w:val="single" w:color="auto" w:sz="4" w:space="0"/>
              <w:bottom w:val="single" w:color="auto" w:sz="4" w:space="0"/>
              <w:right w:val="single" w:color="auto" w:sz="4" w:space="0"/>
            </w:tcBorders>
            <w:noWrap w:val="0"/>
            <w:vAlign w:val="center"/>
          </w:tcPr>
          <w:p>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bl>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55" w:leftChars="0" w:right="0" w:rightChars="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 xml:space="preserve"> </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五、互联互通四级测评咨询服务项目</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辅助本院互联互通创建工作，提供测评指导服务，确保2025年通过互联互通测评四级甲等。</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55" w:leftChars="0" w:right="0" w:rightChars="0"/>
        <w:jc w:val="both"/>
        <w:rPr>
          <w:rFonts w:hint="eastAsia" w:ascii="仿宋" w:hAnsi="仿宋" w:eastAsia="仿宋" w:cs="仿宋"/>
          <w:b/>
          <w:bCs/>
          <w:i w:val="0"/>
          <w:caps w:val="0"/>
          <w:color w:val="333333"/>
          <w:spacing w:val="0"/>
          <w:sz w:val="28"/>
          <w:szCs w:val="28"/>
          <w:shd w:val="clear" w:fill="FFFFFF"/>
          <w:lang w:val="en-US" w:eastAsia="zh-CN"/>
        </w:rPr>
      </w:pP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六、院前急诊急救系统</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院前急救、预检分诊、急诊抢救、急诊留观、急诊手术室、急诊ICU至患者转归的全流程管理，形成以分诊导诊为指引，以患者行为跟踪为核心的闭环管理，建立结构化快速电子病历。系统通过对预检分诊、抢救、留观环节的数据采集，形成专科特色的质控分析，为科室主任管理提供量化尺度，为科研、教学提供数字依据。</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2、实现院前院内系统协同，实现诊疗前置，在急救车上完成对患者的诊断，调动医院资源，完成各种检查、检验项目的预约，为抢救患者最大化地节约时间。</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3、系统对病人的医疗数据进行采集、汇总、分析，形成专科统计报表，为病人病情分析和科室质控提供数据支撑。</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4、为急诊指挥中心、急诊医生、急诊护士、出诊医护人员和患者提供了全面的数字化信息统一服务平台， 充分利用急救医疗资源，为医护人员提供便捷的辅助工具，最大程度的挽救患者的生命。</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5、病历信息覆盖结构化电子病历信息、图片信息、音视频信息及生命体征信息，为患者提供详细的病情记录，为医生诊断提供有力依据，为医学科研提供数据基础。</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6、通过远程指导中心，及时了解患者病情，集合院前病历，进行远程指导干预，并提前预约医疗资源，为患者得到及时有效救治赢得宝贵时间。</w:t>
      </w:r>
    </w:p>
    <w:p>
      <w:pPr>
        <w:numPr>
          <w:ilvl w:val="0"/>
          <w:numId w:val="0"/>
        </w:numPr>
        <w:ind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7、通过生命体征实时采集传输与三方视频通话系统，实现“上车即入院”。</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8、实现院前病历与院内指导的数据高速传输，可提供紧急医疗救援、缩短救援时间、提高医疗资源利用效率。医疗急诊急救信息化建设总体达到管理属地化、全面数字化、整体系统化、信息区域互联互通、系统智能化的目标，满足急救中心的发展需求，以提高急救中心的管理水平和社会服务能力，逐步实现院前医疗急救精细化管理。</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七、人工智能AI影像辅助诊断系统</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1、提高诊断准确性：在影像分析中提供准确和可靠的辅助诊断。通过对大量的影像数据进行学习和分析，融合多个医疗专家的经验和知识，提供更准确的诊断结果，减少误诊和漏诊的情况。</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2、加速诊断速度：缩短患者等待时间，加速疾病的诊断过程。快速处理和分析大量的影像数据，自动识别异常区域并提供帮助，减少医生的手动操作和评估时间，提高诊断效率。</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3、优化医疗资源利用：优化医疗资源的利用。解决医生资源短缺的问题。为医生提供准确的诊断结果和决策建议，使医生能够更好地利用有限的时间和资源，对患者进行更好的诊断和治疗。</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4、促进医学知识的积累和共享：通过学习和分析海量的医学数据，提取其中的知识和规律，并为医学研究和教育提供支持。通过积累和共享专业知识，提高整体医疗水平。</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5、提高医疗服务质量与患者体验：提高医疗服务质量，满足患者需求，提升患者的医疗体验。提供更准确和快速的诊断结果，减少患者的不必要的等待时间和不便，改善医疗服务的效率和质量。</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八、智能导检系统</w:t>
      </w:r>
    </w:p>
    <w:p>
      <w:pPr>
        <w:pStyle w:val="2"/>
        <w:ind w:firstLine="562" w:firstLineChars="200"/>
        <w:rPr>
          <w:rFonts w:hint="default"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w:t>
      </w:r>
      <w:r>
        <w:rPr>
          <w:rFonts w:hint="default" w:ascii="仿宋" w:hAnsi="仿宋" w:eastAsia="仿宋" w:cs="仿宋"/>
          <w:i w:val="0"/>
          <w:caps w:val="0"/>
          <w:color w:val="333333"/>
          <w:spacing w:val="0"/>
          <w:kern w:val="0"/>
          <w:sz w:val="28"/>
          <w:szCs w:val="28"/>
          <w:shd w:val="clear" w:fill="FFFFFF"/>
          <w:lang w:val="en-US" w:eastAsia="zh-CN" w:bidi="ar"/>
        </w:rPr>
        <w:t>提高体检效率：通过自动化和数字化的方式，优化体检流程，提高体检效率。系统可以自动识别和采集体检者的基本信息，减少手动录入的时间和错误率。同时，在导检过程中，系统可以根据体检项目和身体状况，智能化地指导体检者进行相应的检查，简化流程，提高体检速度。</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w:t>
      </w:r>
      <w:r>
        <w:rPr>
          <w:rFonts w:hint="default" w:ascii="仿宋" w:hAnsi="仿宋" w:eastAsia="仿宋" w:cs="仿宋"/>
          <w:i w:val="0"/>
          <w:caps w:val="0"/>
          <w:color w:val="333333"/>
          <w:spacing w:val="0"/>
          <w:kern w:val="0"/>
          <w:sz w:val="28"/>
          <w:szCs w:val="28"/>
          <w:shd w:val="clear" w:fill="FFFFFF"/>
          <w:lang w:val="en-US" w:eastAsia="zh-CN" w:bidi="ar"/>
        </w:rPr>
        <w:t>增强数据管理：集中管理体检者的信息，建立起完整、准确的健康档案。</w:t>
      </w:r>
      <w:r>
        <w:rPr>
          <w:rFonts w:hint="eastAsia" w:ascii="仿宋" w:hAnsi="仿宋" w:eastAsia="仿宋" w:cs="仿宋"/>
          <w:i w:val="0"/>
          <w:caps w:val="0"/>
          <w:color w:val="333333"/>
          <w:spacing w:val="0"/>
          <w:kern w:val="0"/>
          <w:sz w:val="28"/>
          <w:szCs w:val="28"/>
          <w:shd w:val="clear" w:fill="FFFFFF"/>
          <w:lang w:val="en-US" w:eastAsia="zh-CN" w:bidi="ar"/>
        </w:rPr>
        <w:t>促使</w:t>
      </w:r>
      <w:r>
        <w:rPr>
          <w:rFonts w:hint="default" w:ascii="仿宋" w:hAnsi="仿宋" w:eastAsia="仿宋" w:cs="仿宋"/>
          <w:i w:val="0"/>
          <w:caps w:val="0"/>
          <w:color w:val="333333"/>
          <w:spacing w:val="0"/>
          <w:kern w:val="0"/>
          <w:sz w:val="28"/>
          <w:szCs w:val="28"/>
          <w:shd w:val="clear" w:fill="FFFFFF"/>
          <w:lang w:val="en-US" w:eastAsia="zh-CN" w:bidi="ar"/>
        </w:rPr>
        <w:t>医疗机构更好地管理和利用体检数据，以提供进一步的健康评估、疾病预防和个性化医疗服务。</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w:t>
      </w:r>
      <w:r>
        <w:rPr>
          <w:rFonts w:hint="default" w:ascii="仿宋" w:hAnsi="仿宋" w:eastAsia="仿宋" w:cs="仿宋"/>
          <w:i w:val="0"/>
          <w:caps w:val="0"/>
          <w:color w:val="333333"/>
          <w:spacing w:val="0"/>
          <w:kern w:val="0"/>
          <w:sz w:val="28"/>
          <w:szCs w:val="28"/>
          <w:shd w:val="clear" w:fill="FFFFFF"/>
          <w:lang w:val="en-US" w:eastAsia="zh-CN" w:bidi="ar"/>
        </w:rPr>
        <w:t>改善用户体验：通过智能导检系统，体检者可以享受到更加便捷、高效的体检服务。系统可以提供个性化的导检指引，根据体检者的特殊需求和状况，定制合适的体检项目和建议。实现在线预约和报告查询等功能，方便用户随时获取体检信息，并提供教育和健康咨询服务，改善用户体验。</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w:t>
      </w:r>
      <w:r>
        <w:rPr>
          <w:rFonts w:hint="default" w:ascii="仿宋" w:hAnsi="仿宋" w:eastAsia="仿宋" w:cs="仿宋"/>
          <w:i w:val="0"/>
          <w:caps w:val="0"/>
          <w:color w:val="333333"/>
          <w:spacing w:val="0"/>
          <w:kern w:val="0"/>
          <w:sz w:val="28"/>
          <w:szCs w:val="28"/>
          <w:shd w:val="clear" w:fill="FFFFFF"/>
          <w:lang w:val="en-US" w:eastAsia="zh-CN" w:bidi="ar"/>
        </w:rPr>
        <w:t>促进健康管理：</w:t>
      </w:r>
      <w:r>
        <w:rPr>
          <w:rFonts w:hint="eastAsia" w:ascii="仿宋" w:hAnsi="仿宋" w:eastAsia="仿宋" w:cs="仿宋"/>
          <w:i w:val="0"/>
          <w:caps w:val="0"/>
          <w:color w:val="333333"/>
          <w:spacing w:val="0"/>
          <w:kern w:val="0"/>
          <w:sz w:val="28"/>
          <w:szCs w:val="28"/>
          <w:shd w:val="clear" w:fill="FFFFFF"/>
          <w:lang w:val="en-US" w:eastAsia="zh-CN" w:bidi="ar"/>
        </w:rPr>
        <w:t>具备</w:t>
      </w:r>
      <w:r>
        <w:rPr>
          <w:rFonts w:hint="default" w:ascii="仿宋" w:hAnsi="仿宋" w:eastAsia="仿宋" w:cs="仿宋"/>
          <w:i w:val="0"/>
          <w:caps w:val="0"/>
          <w:color w:val="333333"/>
          <w:spacing w:val="0"/>
          <w:kern w:val="0"/>
          <w:sz w:val="28"/>
          <w:szCs w:val="28"/>
          <w:shd w:val="clear" w:fill="FFFFFF"/>
          <w:lang w:val="en-US" w:eastAsia="zh-CN" w:bidi="ar"/>
        </w:rPr>
        <w:t>综合分析体检数据</w:t>
      </w:r>
      <w:r>
        <w:rPr>
          <w:rFonts w:hint="eastAsia" w:ascii="仿宋" w:hAnsi="仿宋" w:eastAsia="仿宋" w:cs="仿宋"/>
          <w:i w:val="0"/>
          <w:caps w:val="0"/>
          <w:color w:val="333333"/>
          <w:spacing w:val="0"/>
          <w:kern w:val="0"/>
          <w:sz w:val="28"/>
          <w:szCs w:val="28"/>
          <w:shd w:val="clear" w:fill="FFFFFF"/>
          <w:lang w:val="en-US" w:eastAsia="zh-CN" w:bidi="ar"/>
        </w:rPr>
        <w:t>功能</w:t>
      </w:r>
      <w:r>
        <w:rPr>
          <w:rFonts w:hint="default" w:ascii="仿宋" w:hAnsi="仿宋" w:eastAsia="仿宋" w:cs="仿宋"/>
          <w:i w:val="0"/>
          <w:caps w:val="0"/>
          <w:color w:val="333333"/>
          <w:spacing w:val="0"/>
          <w:kern w:val="0"/>
          <w:sz w:val="28"/>
          <w:szCs w:val="28"/>
          <w:shd w:val="clear" w:fill="FFFFFF"/>
          <w:lang w:val="en-US" w:eastAsia="zh-CN" w:bidi="ar"/>
        </w:rPr>
        <w:t>，提供个体化的健康评估和管理建议。根据体检结果和个人健康信息提供风险评估、预防措施和健康干预建议，指导个体在日常生活中保持良好的健康习惯、进行合理的健康管理和预防策略。</w:t>
      </w:r>
    </w:p>
    <w:p>
      <w:pPr>
        <w:rPr>
          <w:rFonts w:hint="default" w:ascii="仿宋" w:hAnsi="仿宋" w:eastAsia="仿宋" w:cs="仿宋"/>
          <w:i w:val="0"/>
          <w:caps w:val="0"/>
          <w:color w:val="333333"/>
          <w:spacing w:val="0"/>
          <w:kern w:val="0"/>
          <w:sz w:val="28"/>
          <w:szCs w:val="28"/>
          <w:shd w:val="clear" w:fill="FFFFFF"/>
          <w:lang w:val="en-US" w:eastAsia="zh-CN" w:bidi="ar"/>
        </w:rPr>
      </w:pPr>
    </w:p>
    <w:p>
      <w:pPr>
        <w:pStyle w:val="2"/>
        <w:numPr>
          <w:ilvl w:val="0"/>
          <w:numId w:val="0"/>
        </w:numPr>
        <w:ind w:firstLine="643" w:firstLineChars="200"/>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九、健康管理系统</w:t>
      </w:r>
    </w:p>
    <w:p>
      <w:pPr>
        <w:numPr>
          <w:ilvl w:val="0"/>
          <w:numId w:val="0"/>
        </w:numPr>
        <w:ind w:firstLine="562" w:firstLineChars="200"/>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实现个性化的健康管理：为个体提供个性化的健康管理服务。通过收集和分析个体的健康数据，包括体检结果、生活习惯、疾病史等信息，评估个体的健康状况，识别潜在风险因素，并提供相应的健康管理计划和建议。根据个体的特点和需求，定制适合其健康管理的策略，帮助个体更好地维护和改善健康状况。</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促进健康教育和意识提升：提供相关的健康知识和信息。向个体提供针对性的健康教育内容，涵盖健康饮食、运动指导、疾病预防等方面的知识，以促进个体的健康意识和健康行为调整。通过系统的学习和培训功能，个体可以获得正确的健康知识和应对策略，提高健康自我管理能力。</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提供健康监测和追踪功能：实时监测和追踪个体的健康数据，包括血压、血糖、体重等指标的记录和变化。通过系统的提醒和警示功能，个体可以及时了解自身的健康状况，裕免潜在健康风险，以便及早采取干预措施。辅助个体建立健康档案，记录和跟踪个体的健康历程，为医生提供全面的健康信息，辅助医疗决策。</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改善医患沟通与协作：强化医患之间的沟通与协作，建立起更加紧密的关系。提供在线咨询和交流平台，方便地与医生或其他医疗专家进行沟通，寻求专业建议和解答疑惑。可以通过系统向个体发送健康信息和建议，与个体保持联系，并提供个性化的医疗指导。</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促进科学研究与政策制定：为科学研究和政策制定提供重要的支持。通过健康管理系统收集和整理大量的健康数据，为研究者提供宝贵的资源，支持疾病流行趋势的监测和分析，提高公共卫生服务的效果和效率。</w:t>
      </w:r>
    </w:p>
    <w:p>
      <w:pPr>
        <w:pStyle w:val="2"/>
        <w:rPr>
          <w:rFonts w:hint="default"/>
          <w:lang w:val="en-US" w:eastAsia="zh-CN"/>
        </w:rPr>
      </w:pP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default"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sz w:val="32"/>
          <w:szCs w:val="32"/>
          <w:shd w:val="clear" w:fill="FFFFFF"/>
          <w:lang w:val="en-US" w:eastAsia="zh-CN"/>
        </w:rPr>
        <w:t>十、</w:t>
      </w:r>
      <w:r>
        <w:rPr>
          <w:rFonts w:hint="eastAsia" w:ascii="仿宋" w:hAnsi="仿宋" w:eastAsia="仿宋" w:cs="仿宋"/>
          <w:b/>
          <w:bCs/>
          <w:i w:val="0"/>
          <w:caps w:val="0"/>
          <w:color w:val="333333"/>
          <w:spacing w:val="0"/>
          <w:kern w:val="0"/>
          <w:sz w:val="32"/>
          <w:szCs w:val="32"/>
          <w:shd w:val="clear" w:fill="FFFFFF"/>
          <w:lang w:val="en-US" w:eastAsia="zh-CN" w:bidi="ar"/>
        </w:rPr>
        <w:t>医疗设备全生命周期管理软件</w:t>
      </w:r>
    </w:p>
    <w:p>
      <w:pPr>
        <w:pStyle w:val="2"/>
        <w:numPr>
          <w:ilvl w:val="0"/>
          <w:numId w:val="0"/>
        </w:numPr>
        <w:ind w:firstLine="562" w:firstLineChars="200"/>
        <w:rPr>
          <w:rFonts w:hint="eastAsia" w:ascii="仿宋" w:hAnsi="仿宋" w:eastAsia="仿宋" w:cs="仿宋"/>
          <w:b/>
          <w:bCs/>
          <w:i w:val="0"/>
          <w:caps w:val="0"/>
          <w:color w:val="333333"/>
          <w:spacing w:val="0"/>
          <w:sz w:val="28"/>
          <w:szCs w:val="28"/>
          <w:shd w:val="clear" w:fill="FFFFFF"/>
          <w:lang w:val="en-US" w:eastAsia="zh-CN"/>
        </w:rPr>
      </w:pPr>
      <w:r>
        <w:rPr>
          <w:rFonts w:hint="eastAsia" w:ascii="仿宋" w:hAnsi="仿宋" w:eastAsia="仿宋" w:cs="仿宋"/>
          <w:b/>
          <w:bCs/>
          <w:i w:val="0"/>
          <w:caps w:val="0"/>
          <w:color w:val="333333"/>
          <w:spacing w:val="0"/>
          <w:sz w:val="28"/>
          <w:szCs w:val="28"/>
          <w:shd w:val="clear" w:fill="FFFFFF"/>
          <w:lang w:val="en-US" w:eastAsia="zh-CN"/>
        </w:rPr>
        <w:t>项目要求：</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提高设备管理效率：全生命周期管理软件可以集中存储和管理医疗设备的各种信息，包括采购记录、维修保养记录、使用情况等。通过软件的帮助，可以快速查询和更新设备信息，提高设备管理的效率，减少人工操作和复杂的纸质文档管理的工作量。</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优化资产利用和成本控制：医疗设备是医疗机构重要的资产之一，帮助机构精确掌握设备的使用情况和价值，及时进行设备的评估和替代决策，优化资产利用。此外，软件可跟踪设备的维修和保养情况，控制维修成本，合理安排维修计划，降低设备维护费用。</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支持合规与安全管理：确保设备的合规与安全管理。软件可以跟踪设备的证书和许可证信息，提醒用户及时更新，确保设备符合相关法规和标准。此外，软件还可以记录设备的故障和缺陷信息，并支持问题追踪和风险管理，帮助机构及时发现和解决设备的质量和安全问题。</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数据分析和决策支持：提供数据分析和决策支持的功能。通过对设备数据的分析，了解设备的使用情况、故障率、维修成本等指标，发现设备管理的瓶颈和改进点。生成相关报表和指标，帮助机构管理人员了解设备状况、支持决策和优化设备管理策略。</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5、增强服务质量和患者安全：提高医疗机构的设备管理水平，保证设备的正常运行，减少设备故障和维修时间。增加设备的可靠性和稳定性，提高机构的服务质量，保障患者的安全和满意度。</w:t>
      </w:r>
    </w:p>
    <w:p>
      <w:pPr>
        <w:rPr>
          <w:rFonts w:hint="eastAsia" w:ascii="仿宋" w:hAnsi="仿宋" w:eastAsia="仿宋" w:cs="仿宋"/>
          <w:i w:val="0"/>
          <w:caps w:val="0"/>
          <w:color w:val="333333"/>
          <w:spacing w:val="0"/>
          <w:kern w:val="0"/>
          <w:sz w:val="28"/>
          <w:szCs w:val="28"/>
          <w:shd w:val="clear" w:fill="FFFFFF"/>
          <w:lang w:val="en-US" w:eastAsia="zh-CN" w:bidi="ar"/>
        </w:rPr>
      </w:pPr>
    </w:p>
    <w:p>
      <w:pPr>
        <w:pStyle w:val="2"/>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十一、心理健康管理系统</w:t>
      </w:r>
    </w:p>
    <w:p>
      <w:pPr>
        <w:pStyle w:val="2"/>
        <w:ind w:firstLine="562" w:firstLineChars="200"/>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 xml:space="preserve"> 项目要求：</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1、项目包括成人心理健康评估、儿童心智行为评估、科间协作、心理健康体检、心理健康综合分析等</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2、建立全民心理健康档案，为重点人群，重点岗位如：学生、教育、司法等，及时提供科学有效的心理健康干预依据和方案。</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面向全院科室患者开展心理评估、诊断、治疗和转诊，让各临床科室非精神科医生更准确、有效地识别和治疗抑郁、焦虑等心理问题，能有效提高医疗效率和医疗服务质量，进一步减少医患纠纷与医疗风险事件。</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4、为各类院校提供心理健康评估报告，及时发现和干预心理健康问题，有效提升各院校防控师生心理健康事件的能力。</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p>
    <w:p>
      <w:pPr>
        <w:pStyle w:val="2"/>
        <w:numPr>
          <w:ilvl w:val="0"/>
          <w:numId w:val="0"/>
        </w:numPr>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十二、窗口满意度评价项目</w:t>
      </w:r>
    </w:p>
    <w:tbl>
      <w:tblPr>
        <w:tblStyle w:val="7"/>
        <w:tblW w:w="7657" w:type="dxa"/>
        <w:jc w:val="center"/>
        <w:tblLayout w:type="fixed"/>
        <w:tblCellMar>
          <w:top w:w="0" w:type="dxa"/>
          <w:left w:w="108" w:type="dxa"/>
          <w:bottom w:w="0" w:type="dxa"/>
          <w:right w:w="108" w:type="dxa"/>
        </w:tblCellMar>
      </w:tblPr>
      <w:tblGrid>
        <w:gridCol w:w="1029"/>
        <w:gridCol w:w="3572"/>
        <w:gridCol w:w="952"/>
        <w:gridCol w:w="2104"/>
      </w:tblGrid>
      <w:tr>
        <w:tblPrEx>
          <w:tblCellMar>
            <w:top w:w="0" w:type="dxa"/>
            <w:left w:w="108" w:type="dxa"/>
            <w:bottom w:w="0" w:type="dxa"/>
            <w:right w:w="108" w:type="dxa"/>
          </w:tblCellMar>
        </w:tblPrEx>
        <w:trPr>
          <w:trHeight w:val="399" w:hRule="atLeast"/>
          <w:jc w:val="center"/>
        </w:trPr>
        <w:tc>
          <w:tcPr>
            <w:tcW w:w="1029"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pPr>
              <w:ind w:left="0" w:leftChars="0" w:firstLine="0" w:firstLineChars="0"/>
              <w:jc w:val="center"/>
              <w:rPr>
                <w:rFonts w:ascii="宋体" w:hAnsi="宋体"/>
                <w:b/>
              </w:rPr>
            </w:pPr>
            <w:r>
              <w:rPr>
                <w:rFonts w:hint="eastAsia" w:ascii="宋体" w:hAnsi="宋体"/>
                <w:b/>
                <w:lang w:val="en-US" w:eastAsia="zh-CN"/>
              </w:rPr>
              <w:t>序号</w:t>
            </w:r>
          </w:p>
        </w:tc>
        <w:tc>
          <w:tcPr>
            <w:tcW w:w="3572" w:type="dxa"/>
            <w:tcBorders>
              <w:top w:val="single" w:color="000000" w:sz="4" w:space="0"/>
              <w:left w:val="nil"/>
              <w:bottom w:val="single" w:color="auto" w:sz="4" w:space="0"/>
              <w:right w:val="single" w:color="000000" w:sz="4" w:space="0"/>
            </w:tcBorders>
            <w:shd w:val="clear" w:color="FFFF99" w:fill="FFFFFF"/>
            <w:noWrap w:val="0"/>
            <w:vAlign w:val="center"/>
          </w:tcPr>
          <w:p>
            <w:pPr>
              <w:widowControl/>
              <w:jc w:val="center"/>
              <w:rPr>
                <w:rFonts w:hint="default" w:ascii="宋体" w:hAnsi="宋体"/>
                <w:b/>
                <w:lang w:val="en-US"/>
              </w:rPr>
            </w:pPr>
            <w:r>
              <w:rPr>
                <w:rFonts w:hint="eastAsia" w:ascii="宋体" w:hAnsi="宋体"/>
                <w:b/>
                <w:lang w:val="en-US" w:eastAsia="zh-CN"/>
              </w:rPr>
              <w:t>项目名称</w:t>
            </w:r>
          </w:p>
        </w:tc>
        <w:tc>
          <w:tcPr>
            <w:tcW w:w="952" w:type="dxa"/>
            <w:tcBorders>
              <w:top w:val="single" w:color="000000" w:sz="4" w:space="0"/>
              <w:left w:val="nil"/>
              <w:bottom w:val="single" w:color="000000" w:sz="4" w:space="0"/>
              <w:right w:val="single" w:color="000000" w:sz="4" w:space="0"/>
            </w:tcBorders>
            <w:shd w:val="clear" w:color="FFFF99" w:fill="FFFFFF"/>
            <w:noWrap w:val="0"/>
            <w:vAlign w:val="center"/>
          </w:tcPr>
          <w:p>
            <w:pPr>
              <w:widowControl/>
              <w:ind w:left="0" w:leftChars="0" w:firstLine="0" w:firstLineChars="0"/>
              <w:jc w:val="both"/>
              <w:rPr>
                <w:rFonts w:hint="eastAsia" w:ascii="宋体" w:hAnsi="宋体" w:eastAsiaTheme="minorEastAsia"/>
                <w:b/>
                <w:lang w:val="en-US" w:eastAsia="zh-CN"/>
              </w:rPr>
            </w:pPr>
            <w:r>
              <w:rPr>
                <w:rFonts w:hint="eastAsia" w:ascii="宋体" w:hAnsi="宋体"/>
                <w:b/>
                <w:lang w:val="en-US" w:eastAsia="zh-CN"/>
              </w:rPr>
              <w:t>单位</w:t>
            </w:r>
          </w:p>
        </w:tc>
        <w:tc>
          <w:tcPr>
            <w:tcW w:w="2104"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ascii="宋体" w:hAnsi="宋体"/>
                <w:b/>
              </w:rPr>
            </w:pPr>
            <w:r>
              <w:rPr>
                <w:rFonts w:hint="eastAsia" w:ascii="宋体" w:hAnsi="宋体"/>
                <w:b/>
                <w:lang w:val="en-US" w:eastAsia="zh-CN"/>
              </w:rPr>
              <w:t>数量</w:t>
            </w:r>
          </w:p>
        </w:tc>
      </w:tr>
      <w:tr>
        <w:tblPrEx>
          <w:tblCellMar>
            <w:top w:w="0" w:type="dxa"/>
            <w:left w:w="108" w:type="dxa"/>
            <w:bottom w:w="0" w:type="dxa"/>
            <w:right w:w="108" w:type="dxa"/>
          </w:tblCellMar>
        </w:tblPrEx>
        <w:trPr>
          <w:trHeight w:val="399" w:hRule="atLeast"/>
          <w:jc w:val="center"/>
        </w:trPr>
        <w:tc>
          <w:tcPr>
            <w:tcW w:w="1029"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w:t>
            </w:r>
          </w:p>
        </w:tc>
        <w:tc>
          <w:tcPr>
            <w:tcW w:w="3572" w:type="dxa"/>
            <w:tcBorders>
              <w:top w:val="single" w:color="000000" w:sz="4" w:space="0"/>
              <w:left w:val="nil"/>
              <w:bottom w:val="single" w:color="auto" w:sz="4" w:space="0"/>
              <w:right w:val="single" w:color="000000" w:sz="4" w:space="0"/>
            </w:tcBorders>
            <w:shd w:val="clear" w:color="FFFF99" w:fill="FFFFFF"/>
            <w:noWrap w:val="0"/>
            <w:vAlign w:val="center"/>
          </w:tcPr>
          <w:p>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评价管理系统</w:t>
            </w:r>
          </w:p>
        </w:tc>
        <w:tc>
          <w:tcPr>
            <w:tcW w:w="952" w:type="dxa"/>
            <w:tcBorders>
              <w:top w:val="single" w:color="000000" w:sz="4" w:space="0"/>
              <w:left w:val="nil"/>
              <w:bottom w:val="single" w:color="000000" w:sz="4" w:space="0"/>
              <w:right w:val="single" w:color="000000" w:sz="4" w:space="0"/>
            </w:tcBorders>
            <w:shd w:val="clear" w:color="FFFF99" w:fill="FFFFFF"/>
            <w:noWrap w:val="0"/>
            <w:vAlign w:val="center"/>
          </w:tcPr>
          <w:p>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套</w:t>
            </w:r>
          </w:p>
        </w:tc>
        <w:tc>
          <w:tcPr>
            <w:tcW w:w="2104"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tblPrEx>
          <w:tblCellMar>
            <w:top w:w="0" w:type="dxa"/>
            <w:left w:w="108" w:type="dxa"/>
            <w:bottom w:w="0" w:type="dxa"/>
            <w:right w:w="108" w:type="dxa"/>
          </w:tblCellMar>
        </w:tblPrEx>
        <w:trPr>
          <w:trHeight w:val="399" w:hRule="atLeast"/>
          <w:jc w:val="center"/>
        </w:trPr>
        <w:tc>
          <w:tcPr>
            <w:tcW w:w="1029"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w:t>
            </w:r>
          </w:p>
        </w:tc>
        <w:tc>
          <w:tcPr>
            <w:tcW w:w="3572" w:type="dxa"/>
            <w:tcBorders>
              <w:top w:val="single" w:color="000000" w:sz="4" w:space="0"/>
              <w:left w:val="nil"/>
              <w:bottom w:val="single" w:color="auto" w:sz="4" w:space="0"/>
              <w:right w:val="single" w:color="000000" w:sz="4" w:space="0"/>
            </w:tcBorders>
            <w:shd w:val="clear" w:color="FFFF99" w:fill="FFFFFF"/>
            <w:noWrap w:val="0"/>
            <w:vAlign w:val="center"/>
          </w:tcPr>
          <w:p>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评价器</w:t>
            </w:r>
          </w:p>
        </w:tc>
        <w:tc>
          <w:tcPr>
            <w:tcW w:w="952" w:type="dxa"/>
            <w:tcBorders>
              <w:top w:val="single" w:color="000000" w:sz="4" w:space="0"/>
              <w:left w:val="nil"/>
              <w:bottom w:val="single" w:color="000000" w:sz="4" w:space="0"/>
              <w:right w:val="single" w:color="000000" w:sz="4" w:space="0"/>
            </w:tcBorders>
            <w:shd w:val="clear" w:color="FFFF99" w:fill="FFFFFF"/>
            <w:noWrap w:val="0"/>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104"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50</w:t>
            </w:r>
          </w:p>
        </w:tc>
      </w:tr>
      <w:tr>
        <w:tblPrEx>
          <w:tblCellMar>
            <w:top w:w="0" w:type="dxa"/>
            <w:left w:w="108" w:type="dxa"/>
            <w:bottom w:w="0" w:type="dxa"/>
            <w:right w:w="108" w:type="dxa"/>
          </w:tblCellMar>
        </w:tblPrEx>
        <w:trPr>
          <w:trHeight w:val="399" w:hRule="atLeast"/>
          <w:jc w:val="center"/>
        </w:trPr>
        <w:tc>
          <w:tcPr>
            <w:tcW w:w="1029" w:type="dxa"/>
            <w:tcBorders>
              <w:top w:val="single" w:color="000000" w:sz="4" w:space="0"/>
              <w:left w:val="single" w:color="auto" w:sz="4" w:space="0"/>
              <w:bottom w:val="single" w:color="000000" w:sz="4" w:space="0"/>
              <w:right w:val="single" w:color="000000" w:sz="4" w:space="0"/>
            </w:tcBorders>
            <w:shd w:val="clear" w:color="FFFF99" w:fill="FFFFFF"/>
            <w:noWrap w:val="0"/>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3</w:t>
            </w:r>
          </w:p>
        </w:tc>
        <w:tc>
          <w:tcPr>
            <w:tcW w:w="3572" w:type="dxa"/>
            <w:tcBorders>
              <w:top w:val="single" w:color="000000" w:sz="4" w:space="0"/>
              <w:left w:val="nil"/>
              <w:bottom w:val="single" w:color="000000" w:sz="4" w:space="0"/>
              <w:right w:val="single" w:color="000000" w:sz="4" w:space="0"/>
            </w:tcBorders>
            <w:shd w:val="clear" w:color="FFFF99" w:fill="FFFFFF"/>
            <w:noWrap w:val="0"/>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POE设备</w:t>
            </w:r>
          </w:p>
        </w:tc>
        <w:tc>
          <w:tcPr>
            <w:tcW w:w="952" w:type="dxa"/>
            <w:tcBorders>
              <w:top w:val="single" w:color="000000" w:sz="4" w:space="0"/>
              <w:left w:val="nil"/>
              <w:bottom w:val="single" w:color="000000" w:sz="4" w:space="0"/>
              <w:right w:val="single" w:color="000000" w:sz="4" w:space="0"/>
            </w:tcBorders>
            <w:shd w:val="clear" w:color="FFFF99" w:fill="FFFFFF"/>
            <w:noWrap w:val="0"/>
            <w:vAlign w:val="center"/>
          </w:tcPr>
          <w:p>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104" w:type="dxa"/>
            <w:tcBorders>
              <w:top w:val="single" w:color="000000" w:sz="4" w:space="0"/>
              <w:left w:val="nil"/>
              <w:bottom w:val="single" w:color="000000" w:sz="4" w:space="0"/>
              <w:right w:val="single" w:color="000000" w:sz="4" w:space="0"/>
            </w:tcBorders>
            <w:shd w:val="clear" w:color="FFFF99" w:fill="FFFFFF"/>
            <w:noWrap w:val="0"/>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4</w:t>
            </w:r>
          </w:p>
        </w:tc>
      </w:tr>
      <w:tr>
        <w:tblPrEx>
          <w:tblCellMar>
            <w:top w:w="0" w:type="dxa"/>
            <w:left w:w="108" w:type="dxa"/>
            <w:bottom w:w="0" w:type="dxa"/>
            <w:right w:w="108" w:type="dxa"/>
          </w:tblCellMar>
        </w:tblPrEx>
        <w:trPr>
          <w:trHeight w:val="411" w:hRule="atLeast"/>
          <w:jc w:val="center"/>
        </w:trPr>
        <w:tc>
          <w:tcPr>
            <w:tcW w:w="7657" w:type="dxa"/>
            <w:gridSpan w:val="4"/>
            <w:tcBorders>
              <w:top w:val="single" w:color="000000" w:sz="4" w:space="0"/>
              <w:left w:val="single" w:color="auto" w:sz="4" w:space="0"/>
              <w:bottom w:val="single" w:color="auto" w:sz="4" w:space="0"/>
              <w:right w:val="single" w:color="000000" w:sz="4" w:space="0"/>
            </w:tcBorders>
            <w:shd w:val="clear" w:color="FFFF99" w:fill="FFFFFF"/>
            <w:noWrap w:val="0"/>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备注：方案不限于固定数量</w:t>
            </w:r>
          </w:p>
        </w:tc>
      </w:tr>
    </w:tbl>
    <w:p>
      <w:pPr>
        <w:pStyle w:val="2"/>
        <w:numPr>
          <w:ilvl w:val="0"/>
          <w:numId w:val="0"/>
        </w:numPr>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p>
    <w:p>
      <w:pPr>
        <w:pStyle w:val="2"/>
        <w:numPr>
          <w:ilvl w:val="0"/>
          <w:numId w:val="0"/>
        </w:numPr>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十三、数字影像（云胶片）服务项目</w:t>
      </w:r>
    </w:p>
    <w:p>
      <w:pPr>
        <w:pStyle w:val="2"/>
        <w:ind w:firstLine="562" w:firstLineChars="200"/>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1、通过数字影像（云胶片）服务，实现我院PACS影像、报告线上查看，集成微信扫码、医院公众号、短信链接查看等方式进行报告、影像的查看，实现PACS数据线上存储时间大于30年。</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w:t>
      </w:r>
      <w:r>
        <w:rPr>
          <w:rFonts w:hint="default" w:ascii="仿宋" w:hAnsi="仿宋" w:eastAsia="仿宋" w:cs="仿宋"/>
          <w:i w:val="0"/>
          <w:caps w:val="0"/>
          <w:color w:val="333333"/>
          <w:spacing w:val="0"/>
          <w:kern w:val="0"/>
          <w:sz w:val="28"/>
          <w:szCs w:val="28"/>
          <w:shd w:val="clear" w:fill="FFFFFF"/>
          <w:lang w:val="en-US" w:eastAsia="zh-CN" w:bidi="ar"/>
        </w:rPr>
        <w:t>提高影像存储和管理效率：利用云端存储和管理的便利性，可以更高效地搜索、浏览和共享影像。</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w:t>
      </w:r>
      <w:r>
        <w:rPr>
          <w:rFonts w:hint="default" w:ascii="仿宋" w:hAnsi="仿宋" w:eastAsia="仿宋" w:cs="仿宋"/>
          <w:i w:val="0"/>
          <w:caps w:val="0"/>
          <w:color w:val="333333"/>
          <w:spacing w:val="0"/>
          <w:kern w:val="0"/>
          <w:sz w:val="28"/>
          <w:szCs w:val="28"/>
          <w:shd w:val="clear" w:fill="FFFFFF"/>
          <w:lang w:val="en-US" w:eastAsia="zh-CN" w:bidi="ar"/>
        </w:rPr>
        <w:t>方便快捷的数据访问：云胶片系统允许授权用户通过网络随时随地访问存储在云端的数字影像，提高数据的可及性和使用效率。</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w:t>
      </w:r>
      <w:r>
        <w:rPr>
          <w:rFonts w:hint="default" w:ascii="仿宋" w:hAnsi="仿宋" w:eastAsia="仿宋" w:cs="仿宋"/>
          <w:i w:val="0"/>
          <w:caps w:val="0"/>
          <w:color w:val="333333"/>
          <w:spacing w:val="0"/>
          <w:kern w:val="0"/>
          <w:sz w:val="28"/>
          <w:szCs w:val="28"/>
          <w:shd w:val="clear" w:fill="FFFFFF"/>
          <w:lang w:val="en-US" w:eastAsia="zh-CN" w:bidi="ar"/>
        </w:rPr>
        <w:t>数据安全和备份：提供全面的数据安全措施，包括数据加密、访问权限控制、数据备份等</w:t>
      </w:r>
      <w:r>
        <w:rPr>
          <w:rFonts w:hint="eastAsia" w:ascii="仿宋" w:hAnsi="仿宋" w:eastAsia="仿宋" w:cs="仿宋"/>
          <w:i w:val="0"/>
          <w:caps w:val="0"/>
          <w:color w:val="333333"/>
          <w:spacing w:val="0"/>
          <w:kern w:val="0"/>
          <w:sz w:val="28"/>
          <w:szCs w:val="28"/>
          <w:shd w:val="clear" w:fill="FFFFFF"/>
          <w:lang w:val="en-US" w:eastAsia="zh-CN" w:bidi="ar"/>
        </w:rPr>
        <w:t>，</w:t>
      </w:r>
      <w:r>
        <w:rPr>
          <w:rFonts w:hint="default" w:ascii="仿宋" w:hAnsi="仿宋" w:eastAsia="仿宋" w:cs="仿宋"/>
          <w:i w:val="0"/>
          <w:caps w:val="0"/>
          <w:color w:val="333333"/>
          <w:spacing w:val="0"/>
          <w:kern w:val="0"/>
          <w:sz w:val="28"/>
          <w:szCs w:val="28"/>
          <w:shd w:val="clear" w:fill="FFFFFF"/>
          <w:lang w:val="en-US" w:eastAsia="zh-CN" w:bidi="ar"/>
        </w:rPr>
        <w:t>更好地保护影像数据的安全性，并提供备份和恢复机制。</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w:t>
      </w:r>
      <w:r>
        <w:rPr>
          <w:rFonts w:hint="default" w:ascii="仿宋" w:hAnsi="仿宋" w:eastAsia="仿宋" w:cs="仿宋"/>
          <w:i w:val="0"/>
          <w:caps w:val="0"/>
          <w:color w:val="333333"/>
          <w:spacing w:val="0"/>
          <w:kern w:val="0"/>
          <w:sz w:val="28"/>
          <w:szCs w:val="28"/>
          <w:shd w:val="clear" w:fill="FFFFFF"/>
          <w:lang w:val="en-US" w:eastAsia="zh-CN" w:bidi="ar"/>
        </w:rPr>
        <w:t>提升医疗工作流程：优化医疗工作流程，减少了传统胶片和纸质影像的处理和传输时间。</w:t>
      </w:r>
      <w:r>
        <w:rPr>
          <w:rFonts w:hint="eastAsia" w:ascii="仿宋" w:hAnsi="仿宋" w:eastAsia="仿宋" w:cs="仿宋"/>
          <w:i w:val="0"/>
          <w:caps w:val="0"/>
          <w:color w:val="333333"/>
          <w:spacing w:val="0"/>
          <w:kern w:val="0"/>
          <w:sz w:val="28"/>
          <w:szCs w:val="28"/>
          <w:shd w:val="clear" w:fill="FFFFFF"/>
          <w:lang w:val="en-US" w:eastAsia="zh-CN" w:bidi="ar"/>
        </w:rPr>
        <w:t>能够</w:t>
      </w:r>
      <w:r>
        <w:rPr>
          <w:rFonts w:hint="default" w:ascii="仿宋" w:hAnsi="仿宋" w:eastAsia="仿宋" w:cs="仿宋"/>
          <w:i w:val="0"/>
          <w:caps w:val="0"/>
          <w:color w:val="333333"/>
          <w:spacing w:val="0"/>
          <w:kern w:val="0"/>
          <w:sz w:val="28"/>
          <w:szCs w:val="28"/>
          <w:shd w:val="clear" w:fill="FFFFFF"/>
          <w:lang w:val="en-US" w:eastAsia="zh-CN" w:bidi="ar"/>
        </w:rPr>
        <w:t>迅速地获取和分析影像，提高医疗决策和治疗效果。</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6、</w:t>
      </w:r>
      <w:r>
        <w:rPr>
          <w:rFonts w:hint="default" w:ascii="仿宋" w:hAnsi="仿宋" w:eastAsia="仿宋" w:cs="仿宋"/>
          <w:i w:val="0"/>
          <w:caps w:val="0"/>
          <w:color w:val="333333"/>
          <w:spacing w:val="0"/>
          <w:kern w:val="0"/>
          <w:sz w:val="28"/>
          <w:szCs w:val="28"/>
          <w:shd w:val="clear" w:fill="FFFFFF"/>
          <w:lang w:val="en-US" w:eastAsia="zh-CN" w:bidi="ar"/>
        </w:rPr>
        <w:t>促进协作与分享：支持多用户的同时访问和编辑功能，促进医疗团队之间的协作与共享。医生、技师和病患可以方便地共享和讨论影像，加强沟通和合作，提高整体医疗质量。</w:t>
      </w:r>
    </w:p>
    <w:p>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7、</w:t>
      </w:r>
      <w:r>
        <w:rPr>
          <w:rFonts w:hint="default" w:ascii="仿宋" w:hAnsi="仿宋" w:eastAsia="仿宋" w:cs="仿宋"/>
          <w:i w:val="0"/>
          <w:caps w:val="0"/>
          <w:color w:val="333333"/>
          <w:spacing w:val="0"/>
          <w:kern w:val="0"/>
          <w:sz w:val="28"/>
          <w:szCs w:val="28"/>
          <w:shd w:val="clear" w:fill="FFFFFF"/>
          <w:lang w:val="en-US" w:eastAsia="zh-CN" w:bidi="ar"/>
        </w:rPr>
        <w:t>长期保存和长期利用：数字化影像通过适当的存储和备份措施长期保存，并根据需要进行利用，支持科研和教学等活动。</w:t>
      </w:r>
    </w:p>
    <w:p>
      <w:pPr>
        <w:rPr>
          <w:rFonts w:hint="default"/>
          <w:lang w:val="en-US" w:eastAsia="zh-CN"/>
        </w:rPr>
      </w:pPr>
    </w:p>
    <w:p>
      <w:pPr>
        <w:rPr>
          <w:rFonts w:hint="default"/>
          <w:lang w:val="en-US" w:eastAsia="zh-CN"/>
        </w:rPr>
      </w:pPr>
    </w:p>
    <w:p>
      <w:pPr>
        <w:pStyle w:val="2"/>
        <w:numPr>
          <w:ilvl w:val="0"/>
          <w:numId w:val="0"/>
        </w:numPr>
        <w:ind w:firstLine="643" w:firstLineChars="200"/>
        <w:jc w:val="both"/>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十四、德阳市罗江区人民医院基础能力建设及手术室能力提升建设项目（第二包）</w:t>
      </w:r>
    </w:p>
    <w:tbl>
      <w:tblPr>
        <w:tblStyle w:val="7"/>
        <w:tblW w:w="8304" w:type="dxa"/>
        <w:jc w:val="center"/>
        <w:shd w:val="clear" w:color="auto" w:fill="auto"/>
        <w:tblLayout w:type="fixed"/>
        <w:tblCellMar>
          <w:top w:w="0" w:type="dxa"/>
          <w:left w:w="0" w:type="dxa"/>
          <w:bottom w:w="0" w:type="dxa"/>
          <w:right w:w="0" w:type="dxa"/>
        </w:tblCellMar>
      </w:tblPr>
      <w:tblGrid>
        <w:gridCol w:w="728"/>
        <w:gridCol w:w="2040"/>
        <w:gridCol w:w="1593"/>
        <w:gridCol w:w="1452"/>
        <w:gridCol w:w="2491"/>
      </w:tblGrid>
      <w:tr>
        <w:tblPrEx>
          <w:shd w:val="clear" w:color="auto" w:fill="auto"/>
          <w:tblCellMar>
            <w:top w:w="0" w:type="dxa"/>
            <w:left w:w="0" w:type="dxa"/>
            <w:bottom w:w="0" w:type="dxa"/>
            <w:right w:w="0" w:type="dxa"/>
          </w:tblCellMar>
        </w:tblPrEx>
        <w:trPr>
          <w:trHeight w:val="90" w:hRule="atLeast"/>
          <w:jc w:val="center"/>
        </w:trPr>
        <w:tc>
          <w:tcPr>
            <w:tcW w:w="728"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2040"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lang w:val="en-US"/>
              </w:rPr>
            </w:pPr>
            <w:r>
              <w:rPr>
                <w:rFonts w:hint="eastAsia" w:ascii="宋体" w:hAnsi="宋体" w:eastAsia="宋体" w:cs="宋体"/>
                <w:b/>
                <w:i w:val="0"/>
                <w:color w:val="000000"/>
                <w:kern w:val="0"/>
                <w:sz w:val="28"/>
                <w:szCs w:val="28"/>
                <w:u w:val="none"/>
                <w:lang w:val="en-US" w:eastAsia="zh-CN" w:bidi="ar"/>
              </w:rPr>
              <w:t>项目名称</w:t>
            </w:r>
          </w:p>
        </w:tc>
        <w:tc>
          <w:tcPr>
            <w:tcW w:w="1593"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i w:val="0"/>
                <w:color w:val="000000"/>
                <w:sz w:val="28"/>
                <w:szCs w:val="28"/>
                <w:u w:val="none"/>
                <w:lang w:val="en-US"/>
              </w:rPr>
            </w:pPr>
            <w:r>
              <w:rPr>
                <w:rFonts w:hint="eastAsia" w:ascii="宋体" w:hAnsi="宋体" w:eastAsia="宋体" w:cs="宋体"/>
                <w:b/>
                <w:i w:val="0"/>
                <w:color w:val="000000"/>
                <w:kern w:val="0"/>
                <w:sz w:val="28"/>
                <w:szCs w:val="28"/>
                <w:u w:val="none"/>
                <w:lang w:val="en-US" w:eastAsia="zh-CN" w:bidi="ar"/>
              </w:rPr>
              <w:t>项目内容</w:t>
            </w:r>
          </w:p>
        </w:tc>
        <w:tc>
          <w:tcPr>
            <w:tcW w:w="1452"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i w:val="0"/>
                <w:color w:val="000000"/>
                <w:kern w:val="2"/>
                <w:sz w:val="28"/>
                <w:szCs w:val="28"/>
                <w:u w:val="none"/>
                <w:lang w:val="en-US" w:eastAsia="zh-CN" w:bidi="ar-SA"/>
              </w:rPr>
            </w:pPr>
            <w:r>
              <w:rPr>
                <w:rFonts w:hint="eastAsia" w:ascii="宋体" w:hAnsi="宋体" w:eastAsia="宋体" w:cs="宋体"/>
                <w:b/>
                <w:i w:val="0"/>
                <w:color w:val="000000"/>
                <w:kern w:val="2"/>
                <w:sz w:val="28"/>
                <w:szCs w:val="28"/>
                <w:u w:val="none"/>
                <w:lang w:val="en-US" w:eastAsia="zh-CN" w:bidi="ar-SA"/>
              </w:rPr>
              <w:t>单位</w:t>
            </w:r>
          </w:p>
        </w:tc>
        <w:tc>
          <w:tcPr>
            <w:tcW w:w="2491"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i w:val="0"/>
                <w:color w:val="000000"/>
                <w:kern w:val="2"/>
                <w:sz w:val="28"/>
                <w:szCs w:val="28"/>
                <w:u w:val="none"/>
                <w:lang w:val="en-US" w:eastAsia="zh-CN" w:bidi="ar-SA"/>
              </w:rPr>
            </w:pPr>
            <w:r>
              <w:rPr>
                <w:rFonts w:hint="eastAsia" w:ascii="宋体" w:hAnsi="宋体" w:eastAsia="宋体" w:cs="宋体"/>
                <w:b/>
                <w:i w:val="0"/>
                <w:color w:val="000000"/>
                <w:kern w:val="2"/>
                <w:sz w:val="28"/>
                <w:szCs w:val="28"/>
                <w:u w:val="none"/>
                <w:lang w:val="en-US" w:eastAsia="zh-CN" w:bidi="ar-SA"/>
              </w:rPr>
              <w:t>数量</w:t>
            </w:r>
          </w:p>
        </w:tc>
      </w:tr>
      <w:tr>
        <w:tblPrEx>
          <w:tblCellMar>
            <w:top w:w="0" w:type="dxa"/>
            <w:left w:w="0" w:type="dxa"/>
            <w:bottom w:w="0" w:type="dxa"/>
            <w:right w:w="0" w:type="dxa"/>
          </w:tblCellMar>
        </w:tblPrEx>
        <w:trPr>
          <w:trHeight w:val="90" w:hRule="atLeast"/>
          <w:jc w:val="center"/>
        </w:trPr>
        <w:tc>
          <w:tcPr>
            <w:tcW w:w="728" w:type="dxa"/>
            <w:vMerge w:val="restart"/>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center"/>
              <w:rPr>
                <w:rFonts w:hint="default" w:ascii="宋体" w:hAnsi="宋体" w:eastAsia="宋体" w:cs="宋体"/>
                <w:b/>
                <w:bCs/>
                <w:kern w:val="0"/>
                <w:sz w:val="24"/>
                <w:szCs w:val="22"/>
                <w:lang w:val="en-US" w:eastAsia="zh-CN" w:bidi="ar"/>
              </w:rPr>
            </w:pPr>
            <w:r>
              <w:rPr>
                <w:rFonts w:hint="eastAsia" w:ascii="宋体" w:hAnsi="宋体" w:eastAsia="宋体" w:cs="宋体"/>
                <w:b/>
                <w:bCs/>
                <w:kern w:val="2"/>
                <w:sz w:val="24"/>
                <w:szCs w:val="22"/>
                <w:lang w:val="en-US" w:eastAsia="zh-CN" w:bidi="ar-SA"/>
              </w:rPr>
              <w:t>1</w:t>
            </w:r>
          </w:p>
        </w:tc>
        <w:tc>
          <w:tcPr>
            <w:tcW w:w="2040" w:type="dxa"/>
            <w:vMerge w:val="restart"/>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both"/>
              <w:rPr>
                <w:rFonts w:hint="eastAsia" w:ascii="宋体" w:hAnsi="宋体" w:eastAsia="宋体" w:cs="宋体"/>
                <w:b/>
                <w:bCs/>
                <w:kern w:val="2"/>
                <w:sz w:val="24"/>
                <w:szCs w:val="22"/>
                <w:lang w:val="en-US" w:eastAsia="zh-CN" w:bidi="ar-SA"/>
              </w:rPr>
            </w:pPr>
            <w:r>
              <w:rPr>
                <w:rFonts w:hint="eastAsia" w:ascii="宋体" w:hAnsi="宋体" w:eastAsia="宋体" w:cs="宋体"/>
                <w:b/>
                <w:bCs/>
                <w:sz w:val="24"/>
                <w:szCs w:val="24"/>
              </w:rPr>
              <w:t>德阳市罗江区人民医院基础能力建设及手术室能力提升建设项目（第二包）</w:t>
            </w:r>
          </w:p>
        </w:tc>
        <w:tc>
          <w:tcPr>
            <w:tcW w:w="1593"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both"/>
              <w:rPr>
                <w:rFonts w:hint="eastAsia" w:ascii="宋体" w:hAnsi="宋体" w:eastAsia="宋体" w:cs="宋体"/>
                <w:b w:val="0"/>
                <w:bCs w:val="0"/>
                <w:kern w:val="2"/>
                <w:sz w:val="24"/>
                <w:szCs w:val="22"/>
                <w:lang w:val="en-US" w:eastAsia="zh-CN" w:bidi="ar-SA"/>
              </w:rPr>
            </w:pPr>
            <w:r>
              <w:rPr>
                <w:rFonts w:ascii="宋体" w:hAnsi="宋体" w:eastAsia="宋体" w:cs="宋体"/>
                <w:b w:val="0"/>
                <w:bCs w:val="0"/>
                <w:sz w:val="24"/>
                <w:szCs w:val="24"/>
              </w:rPr>
              <w:t>Web 化住院电子病历升级</w:t>
            </w:r>
          </w:p>
        </w:tc>
        <w:tc>
          <w:tcPr>
            <w:tcW w:w="1452"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center"/>
              <w:rPr>
                <w:rFonts w:hint="default" w:ascii="宋体" w:hAnsi="宋体" w:eastAsia="宋体" w:cs="宋体"/>
                <w:bCs/>
                <w:kern w:val="2"/>
                <w:sz w:val="24"/>
                <w:szCs w:val="22"/>
                <w:lang w:val="en-US" w:eastAsia="zh-CN" w:bidi="ar-SA"/>
              </w:rPr>
            </w:pPr>
            <w:r>
              <w:rPr>
                <w:rFonts w:hint="eastAsia" w:ascii="宋体" w:hAnsi="宋体" w:eastAsia="宋体" w:cs="宋体"/>
                <w:bCs/>
                <w:kern w:val="2"/>
                <w:sz w:val="24"/>
                <w:szCs w:val="22"/>
                <w:lang w:val="en-US" w:eastAsia="zh-CN" w:bidi="ar-SA"/>
              </w:rPr>
              <w:t>套</w:t>
            </w:r>
          </w:p>
        </w:tc>
        <w:tc>
          <w:tcPr>
            <w:tcW w:w="249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jc w:val="center"/>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w:t>
            </w:r>
          </w:p>
        </w:tc>
      </w:tr>
      <w:tr>
        <w:tblPrEx>
          <w:shd w:val="clear" w:color="auto" w:fill="auto"/>
          <w:tblCellMar>
            <w:top w:w="0" w:type="dxa"/>
            <w:left w:w="0" w:type="dxa"/>
            <w:bottom w:w="0" w:type="dxa"/>
            <w:right w:w="0" w:type="dxa"/>
          </w:tblCellMar>
        </w:tblPrEx>
        <w:trPr>
          <w:trHeight w:val="1003" w:hRule="atLeast"/>
          <w:jc w:val="center"/>
        </w:trPr>
        <w:tc>
          <w:tcPr>
            <w:tcW w:w="728"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center"/>
              <w:rPr>
                <w:rFonts w:hint="default" w:ascii="宋体" w:hAnsi="宋体" w:eastAsia="宋体" w:cs="宋体"/>
                <w:b/>
                <w:bCs/>
                <w:kern w:val="0"/>
                <w:sz w:val="24"/>
                <w:szCs w:val="22"/>
                <w:lang w:val="en-US" w:eastAsia="zh-CN" w:bidi="ar"/>
              </w:rPr>
            </w:pPr>
          </w:p>
        </w:tc>
        <w:tc>
          <w:tcPr>
            <w:tcW w:w="2040"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both"/>
              <w:rPr>
                <w:rFonts w:hint="eastAsia" w:ascii="宋体" w:hAnsi="宋体" w:eastAsia="宋体" w:cs="宋体"/>
                <w:b/>
                <w:bCs/>
                <w:kern w:val="2"/>
                <w:sz w:val="24"/>
                <w:szCs w:val="22"/>
                <w:lang w:val="en-US" w:eastAsia="zh-CN" w:bidi="ar-SA"/>
              </w:rPr>
            </w:pPr>
          </w:p>
        </w:tc>
        <w:tc>
          <w:tcPr>
            <w:tcW w:w="1593"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both"/>
              <w:rPr>
                <w:rFonts w:hint="eastAsia" w:ascii="宋体" w:hAnsi="宋体" w:eastAsia="宋体" w:cs="宋体"/>
                <w:b w:val="0"/>
                <w:bCs w:val="0"/>
                <w:kern w:val="2"/>
                <w:sz w:val="24"/>
                <w:szCs w:val="22"/>
                <w:lang w:val="en-US" w:eastAsia="zh-CN" w:bidi="ar-SA"/>
              </w:rPr>
            </w:pPr>
            <w:r>
              <w:rPr>
                <w:rFonts w:hint="eastAsia" w:ascii="宋体" w:hAnsi="宋体" w:eastAsia="宋体" w:cs="宋体"/>
                <w:b w:val="0"/>
                <w:bCs w:val="0"/>
                <w:sz w:val="24"/>
              </w:rPr>
              <w:t>远程会诊中心</w:t>
            </w:r>
          </w:p>
        </w:tc>
        <w:tc>
          <w:tcPr>
            <w:tcW w:w="1452"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center"/>
              <w:rPr>
                <w:rFonts w:hint="default" w:ascii="宋体" w:hAnsi="宋体" w:eastAsia="宋体" w:cs="宋体"/>
                <w:bCs/>
                <w:kern w:val="2"/>
                <w:sz w:val="24"/>
                <w:szCs w:val="22"/>
                <w:lang w:val="en-US" w:eastAsia="zh-CN" w:bidi="ar-SA"/>
              </w:rPr>
            </w:pPr>
            <w:r>
              <w:rPr>
                <w:rFonts w:hint="eastAsia" w:ascii="宋体" w:hAnsi="宋体" w:eastAsia="宋体" w:cs="宋体"/>
                <w:bCs/>
                <w:kern w:val="2"/>
                <w:sz w:val="24"/>
                <w:szCs w:val="22"/>
                <w:lang w:val="en-US" w:eastAsia="zh-CN" w:bidi="ar-SA"/>
              </w:rPr>
              <w:t>套</w:t>
            </w:r>
          </w:p>
        </w:tc>
        <w:tc>
          <w:tcPr>
            <w:tcW w:w="249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jc w:val="center"/>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w:t>
            </w:r>
          </w:p>
        </w:tc>
      </w:tr>
      <w:tr>
        <w:tblPrEx>
          <w:shd w:val="clear" w:color="auto" w:fill="auto"/>
          <w:tblCellMar>
            <w:top w:w="0" w:type="dxa"/>
            <w:left w:w="0" w:type="dxa"/>
            <w:bottom w:w="0" w:type="dxa"/>
            <w:right w:w="0" w:type="dxa"/>
          </w:tblCellMar>
        </w:tblPrEx>
        <w:trPr>
          <w:trHeight w:val="993" w:hRule="atLeast"/>
          <w:jc w:val="center"/>
        </w:trPr>
        <w:tc>
          <w:tcPr>
            <w:tcW w:w="728"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60" w:lineRule="auto"/>
              <w:jc w:val="center"/>
              <w:textAlignment w:val="center"/>
              <w:rPr>
                <w:rFonts w:hint="default" w:ascii="宋体" w:hAnsi="宋体" w:eastAsia="宋体" w:cs="宋体"/>
                <w:b/>
                <w:bCs/>
                <w:kern w:val="0"/>
                <w:sz w:val="24"/>
                <w:szCs w:val="22"/>
                <w:lang w:val="en-US" w:eastAsia="zh-CN" w:bidi="ar"/>
              </w:rPr>
            </w:pPr>
          </w:p>
        </w:tc>
        <w:tc>
          <w:tcPr>
            <w:tcW w:w="2040"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both"/>
              <w:rPr>
                <w:rFonts w:hint="eastAsia" w:ascii="宋体" w:hAnsi="宋体" w:eastAsia="宋体" w:cs="宋体"/>
                <w:b/>
                <w:bCs/>
                <w:kern w:val="2"/>
                <w:sz w:val="24"/>
                <w:szCs w:val="22"/>
                <w:lang w:val="en-US" w:eastAsia="zh-CN" w:bidi="ar-SA"/>
              </w:rPr>
            </w:pPr>
          </w:p>
        </w:tc>
        <w:tc>
          <w:tcPr>
            <w:tcW w:w="1593"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both"/>
              <w:rPr>
                <w:rFonts w:hint="eastAsia" w:ascii="宋体" w:hAnsi="宋体" w:eastAsia="宋体" w:cs="宋体"/>
                <w:b w:val="0"/>
                <w:bCs w:val="0"/>
                <w:kern w:val="2"/>
                <w:sz w:val="24"/>
                <w:szCs w:val="22"/>
                <w:lang w:val="en-US" w:eastAsia="zh-CN" w:bidi="ar-SA"/>
              </w:rPr>
            </w:pPr>
            <w:r>
              <w:rPr>
                <w:rFonts w:hint="eastAsia" w:ascii="宋体" w:hAnsi="宋体" w:eastAsia="宋体" w:cs="宋体"/>
                <w:b w:val="0"/>
                <w:bCs w:val="0"/>
                <w:sz w:val="24"/>
              </w:rPr>
              <w:t>慢病管理系统</w:t>
            </w:r>
          </w:p>
        </w:tc>
        <w:tc>
          <w:tcPr>
            <w:tcW w:w="1452"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spacing w:line="400" w:lineRule="exact"/>
              <w:jc w:val="center"/>
              <w:rPr>
                <w:rFonts w:hint="default" w:ascii="宋体" w:hAnsi="宋体" w:eastAsia="宋体" w:cs="宋体"/>
                <w:bCs/>
                <w:kern w:val="2"/>
                <w:sz w:val="24"/>
                <w:szCs w:val="22"/>
                <w:lang w:val="en-US" w:eastAsia="zh-CN" w:bidi="ar-SA"/>
              </w:rPr>
            </w:pPr>
            <w:r>
              <w:rPr>
                <w:rFonts w:hint="eastAsia" w:ascii="宋体" w:hAnsi="宋体" w:eastAsia="宋体" w:cs="宋体"/>
                <w:bCs/>
                <w:kern w:val="2"/>
                <w:sz w:val="24"/>
                <w:szCs w:val="22"/>
                <w:lang w:val="en-US" w:eastAsia="zh-CN" w:bidi="ar-SA"/>
              </w:rPr>
              <w:t>套</w:t>
            </w:r>
          </w:p>
        </w:tc>
        <w:tc>
          <w:tcPr>
            <w:tcW w:w="249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jc w:val="center"/>
              <w:rPr>
                <w:rFonts w:hint="default"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w:t>
            </w:r>
          </w:p>
        </w:tc>
      </w:tr>
    </w:tbl>
    <w:p>
      <w:pPr>
        <w:pStyle w:val="2"/>
        <w:rPr>
          <w:rFonts w:hint="eastAsia"/>
          <w:lang w:val="en-US" w:eastAsia="zh-CN"/>
        </w:rPr>
      </w:pPr>
    </w:p>
    <w:p>
      <w:pPr>
        <w:ind w:left="0" w:leftChars="0" w:firstLine="562" w:firstLineChars="200"/>
        <w:jc w:val="left"/>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pPr>
        <w:numPr>
          <w:ilvl w:val="0"/>
          <w:numId w:val="0"/>
        </w:numPr>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1、以电子病历为核心，建设结构化住院电子病历。</w:t>
      </w:r>
    </w:p>
    <w:p>
      <w:pPr>
        <w:numPr>
          <w:ilvl w:val="0"/>
          <w:numId w:val="0"/>
        </w:numPr>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实现县域医疗共同体的基层医疗机构资源纵向整合、分工协作，形成“基层首诊、双向转诊、分级医疗”的农村医疗服务新格局，达到整体提高县域医疗资源的配置和使用率，提高县乡两级医疗服务能力，减少住院病人外流的目的。</w:t>
      </w:r>
    </w:p>
    <w:p>
      <w:pPr>
        <w:numPr>
          <w:ilvl w:val="0"/>
          <w:numId w:val="0"/>
        </w:numPr>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3、加强慢病综合管理。</w:t>
      </w:r>
    </w:p>
    <w:p>
      <w:pPr>
        <w:pStyle w:val="6"/>
        <w:ind w:left="0" w:leftChars="0" w:firstLine="562" w:firstLineChars="200"/>
        <w:rPr>
          <w:rFonts w:hint="default" w:ascii="仿宋" w:hAnsi="仿宋" w:eastAsia="仿宋" w:cs="仿宋"/>
          <w:b/>
          <w:bCs/>
          <w:i w:val="0"/>
          <w:caps w:val="0"/>
          <w:color w:val="333333"/>
          <w:spacing w:val="0"/>
          <w:kern w:val="0"/>
          <w:sz w:val="28"/>
          <w:szCs w:val="28"/>
          <w:shd w:val="clear" w:fill="FFFFFF"/>
          <w:lang w:val="en-US" w:eastAsia="zh-CN" w:bidi="ar"/>
        </w:rPr>
      </w:pPr>
      <w:r>
        <w:rPr>
          <w:rFonts w:hint="default" w:ascii="仿宋" w:hAnsi="仿宋" w:eastAsia="仿宋" w:cs="仿宋"/>
          <w:b/>
          <w:bCs/>
          <w:i w:val="0"/>
          <w:caps w:val="0"/>
          <w:color w:val="333333"/>
          <w:spacing w:val="0"/>
          <w:kern w:val="0"/>
          <w:sz w:val="28"/>
          <w:szCs w:val="28"/>
          <w:shd w:val="clear" w:fill="FFFFFF"/>
          <w:lang w:val="en-US" w:eastAsia="zh-CN" w:bidi="ar"/>
        </w:rPr>
        <w:t>Web 化住院电子病历升级</w:t>
      </w:r>
      <w:r>
        <w:rPr>
          <w:rFonts w:hint="eastAsia" w:ascii="仿宋" w:hAnsi="仿宋" w:eastAsia="仿宋" w:cs="仿宋"/>
          <w:b/>
          <w:bCs/>
          <w:i w:val="0"/>
          <w:caps w:val="0"/>
          <w:color w:val="333333"/>
          <w:spacing w:val="0"/>
          <w:kern w:val="0"/>
          <w:sz w:val="28"/>
          <w:szCs w:val="28"/>
          <w:shd w:val="clear" w:fill="FFFFFF"/>
          <w:lang w:val="en-US" w:eastAsia="zh-CN" w:bidi="ar"/>
        </w:rPr>
        <w:t>：</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提升医疗服务效率和质量：通过将住院电子病历系统Web化，实现医疗信息的数字化、网络化和智能化管理。医生可以随时随地通过Web浏览器访问患者的电子病历，了解其病情和治疗进展，提供及时的诊疗服务。同时，通过数据分析和智能化技术的应用，能够帮助医生提供个性化的诊疗方案，提高医疗服务的效率和准确性。</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促进医患沟通和信息共享：Web化住院电子病历系统使得医生和患者之间的沟通更加便捷和畅通</w:t>
      </w:r>
      <w:r>
        <w:rPr>
          <w:rFonts w:hint="eastAsia" w:ascii="仿宋" w:hAnsi="仿宋" w:eastAsia="仿宋" w:cs="仿宋"/>
          <w:i w:val="0"/>
          <w:caps w:val="0"/>
          <w:color w:val="333333"/>
          <w:spacing w:val="0"/>
          <w:kern w:val="0"/>
          <w:sz w:val="28"/>
          <w:szCs w:val="28"/>
          <w:shd w:val="clear" w:fill="FFFFFF"/>
          <w:lang w:val="en-US" w:eastAsia="zh-CN" w:bidi="ar"/>
        </w:rPr>
        <w:t>，</w:t>
      </w:r>
      <w:r>
        <w:rPr>
          <w:rFonts w:hint="default" w:ascii="仿宋" w:hAnsi="仿宋" w:eastAsia="仿宋" w:cs="仿宋"/>
          <w:i w:val="0"/>
          <w:caps w:val="0"/>
          <w:color w:val="333333"/>
          <w:spacing w:val="0"/>
          <w:kern w:val="0"/>
          <w:sz w:val="28"/>
          <w:szCs w:val="28"/>
          <w:shd w:val="clear" w:fill="FFFFFF"/>
          <w:lang w:val="en-US" w:eastAsia="zh-CN" w:bidi="ar"/>
        </w:rPr>
        <w:t>提升医疗服务的连续性和协同性。</w:t>
      </w:r>
    </w:p>
    <w:p>
      <w:pPr>
        <w:pStyle w:val="6"/>
        <w:ind w:left="0" w:leftChars="0" w:firstLine="562" w:firstLineChars="200"/>
        <w:rPr>
          <w:rFonts w:hint="default" w:ascii="仿宋" w:hAnsi="仿宋" w:eastAsia="仿宋" w:cs="仿宋"/>
          <w:b/>
          <w:bCs/>
          <w:i w:val="0"/>
          <w:caps w:val="0"/>
          <w:color w:val="333333"/>
          <w:spacing w:val="0"/>
          <w:kern w:val="0"/>
          <w:sz w:val="28"/>
          <w:szCs w:val="28"/>
          <w:shd w:val="clear" w:fill="FFFFFF"/>
          <w:lang w:val="en-US" w:eastAsia="zh-CN" w:bidi="ar"/>
        </w:rPr>
      </w:pPr>
      <w:r>
        <w:rPr>
          <w:rFonts w:hint="default" w:ascii="仿宋" w:hAnsi="仿宋" w:eastAsia="仿宋" w:cs="仿宋"/>
          <w:b/>
          <w:bCs/>
          <w:i w:val="0"/>
          <w:caps w:val="0"/>
          <w:color w:val="333333"/>
          <w:spacing w:val="0"/>
          <w:kern w:val="0"/>
          <w:sz w:val="28"/>
          <w:szCs w:val="28"/>
          <w:shd w:val="clear" w:fill="FFFFFF"/>
          <w:lang w:val="en-US" w:eastAsia="zh-CN" w:bidi="ar"/>
        </w:rPr>
        <w:t>远程会诊中心</w:t>
      </w:r>
      <w:r>
        <w:rPr>
          <w:rFonts w:hint="eastAsia" w:ascii="仿宋" w:hAnsi="仿宋" w:eastAsia="仿宋" w:cs="仿宋"/>
          <w:b/>
          <w:bCs/>
          <w:i w:val="0"/>
          <w:caps w:val="0"/>
          <w:color w:val="333333"/>
          <w:spacing w:val="0"/>
          <w:kern w:val="0"/>
          <w:sz w:val="28"/>
          <w:szCs w:val="28"/>
          <w:shd w:val="clear" w:fill="FFFFFF"/>
          <w:lang w:val="en-US" w:eastAsia="zh-CN" w:bidi="ar"/>
        </w:rPr>
        <w:t>：</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提供远程医疗服务：通过远程技术实现医生之间和医生与患者之间的远程会诊。通过远程会诊系统远程访问患者的病历、影像等信息，并进行在线交流和讨论。解决地域限制问题，提供高质量的医疗服务。</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加强医疗协作与知识共享：</w:t>
      </w:r>
      <w:r>
        <w:rPr>
          <w:rFonts w:hint="eastAsia" w:ascii="仿宋" w:hAnsi="仿宋" w:eastAsia="仿宋" w:cs="仿宋"/>
          <w:i w:val="0"/>
          <w:caps w:val="0"/>
          <w:color w:val="333333"/>
          <w:spacing w:val="0"/>
          <w:kern w:val="0"/>
          <w:sz w:val="28"/>
          <w:szCs w:val="28"/>
          <w:shd w:val="clear" w:fill="FFFFFF"/>
          <w:lang w:val="en-US" w:eastAsia="zh-CN" w:bidi="ar"/>
        </w:rPr>
        <w:t>实现</w:t>
      </w:r>
      <w:r>
        <w:rPr>
          <w:rFonts w:hint="default" w:ascii="仿宋" w:hAnsi="仿宋" w:eastAsia="仿宋" w:cs="仿宋"/>
          <w:i w:val="0"/>
          <w:caps w:val="0"/>
          <w:color w:val="333333"/>
          <w:spacing w:val="0"/>
          <w:kern w:val="0"/>
          <w:sz w:val="28"/>
          <w:szCs w:val="28"/>
          <w:shd w:val="clear" w:fill="FFFFFF"/>
          <w:lang w:val="en-US" w:eastAsia="zh-CN" w:bidi="ar"/>
        </w:rPr>
        <w:t>连接多个医疗机构和专家团队，促进医疗协作与知识共享。医生可以通过远程会诊系统分享和讨论复杂病例，互相学习和交流经验，提高诊疗水平和疾病诊断能力。</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提高医疗服务效率和便利性：通过远程技术实现医生与患者之间的长距离会诊，避免了长途奔波和等待时间。患者可以在就近的医疗机构接受基本诊疗，并通过远程会诊系统获取到专家远程会诊的服务，提高医疗服务的效率和便利性。</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解决医疗资源不均衡问题：解决医疗资源不均衡的问题</w:t>
      </w:r>
      <w:r>
        <w:rPr>
          <w:rFonts w:hint="eastAsia" w:ascii="仿宋" w:hAnsi="仿宋" w:eastAsia="仿宋" w:cs="仿宋"/>
          <w:i w:val="0"/>
          <w:caps w:val="0"/>
          <w:color w:val="333333"/>
          <w:spacing w:val="0"/>
          <w:kern w:val="0"/>
          <w:sz w:val="28"/>
          <w:szCs w:val="28"/>
          <w:shd w:val="clear" w:fill="FFFFFF"/>
          <w:lang w:val="en-US" w:eastAsia="zh-CN" w:bidi="ar"/>
        </w:rPr>
        <w:t>，</w:t>
      </w:r>
      <w:r>
        <w:rPr>
          <w:rFonts w:hint="default" w:ascii="仿宋" w:hAnsi="仿宋" w:eastAsia="仿宋" w:cs="仿宋"/>
          <w:i w:val="0"/>
          <w:caps w:val="0"/>
          <w:color w:val="333333"/>
          <w:spacing w:val="0"/>
          <w:kern w:val="0"/>
          <w:sz w:val="28"/>
          <w:szCs w:val="28"/>
          <w:shd w:val="clear" w:fill="FFFFFF"/>
          <w:lang w:val="en-US" w:eastAsia="zh-CN" w:bidi="ar"/>
        </w:rPr>
        <w:t>实现医疗资源的合理配置和优化利用。</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促进医学教育和培训：</w:t>
      </w:r>
      <w:r>
        <w:rPr>
          <w:rFonts w:hint="eastAsia" w:ascii="仿宋" w:hAnsi="仿宋" w:eastAsia="仿宋" w:cs="仿宋"/>
          <w:i w:val="0"/>
          <w:caps w:val="0"/>
          <w:color w:val="333333"/>
          <w:spacing w:val="0"/>
          <w:kern w:val="0"/>
          <w:sz w:val="28"/>
          <w:szCs w:val="28"/>
          <w:shd w:val="clear" w:fill="FFFFFF"/>
          <w:lang w:val="en-US" w:eastAsia="zh-CN" w:bidi="ar"/>
        </w:rPr>
        <w:t>满足</w:t>
      </w:r>
      <w:r>
        <w:rPr>
          <w:rFonts w:hint="default" w:ascii="仿宋" w:hAnsi="仿宋" w:eastAsia="仿宋" w:cs="仿宋"/>
          <w:i w:val="0"/>
          <w:caps w:val="0"/>
          <w:color w:val="333333"/>
          <w:spacing w:val="0"/>
          <w:kern w:val="0"/>
          <w:sz w:val="28"/>
          <w:szCs w:val="28"/>
          <w:shd w:val="clear" w:fill="FFFFFF"/>
          <w:lang w:val="en-US" w:eastAsia="zh-CN" w:bidi="ar"/>
        </w:rPr>
        <w:t>医学教育和培训，提高医务人员的专业水平。</w:t>
      </w:r>
    </w:p>
    <w:p>
      <w:pPr>
        <w:pStyle w:val="6"/>
        <w:ind w:left="0" w:leftChars="0" w:firstLine="562" w:firstLineChars="200"/>
        <w:rPr>
          <w:rFonts w:hint="default" w:ascii="仿宋" w:hAnsi="仿宋" w:eastAsia="仿宋" w:cs="仿宋"/>
          <w:b/>
          <w:bCs/>
          <w:i w:val="0"/>
          <w:caps w:val="0"/>
          <w:color w:val="333333"/>
          <w:spacing w:val="0"/>
          <w:kern w:val="0"/>
          <w:sz w:val="28"/>
          <w:szCs w:val="28"/>
          <w:shd w:val="clear" w:fill="FFFFFF"/>
          <w:lang w:val="en-US" w:eastAsia="zh-CN" w:bidi="ar"/>
        </w:rPr>
      </w:pPr>
      <w:r>
        <w:rPr>
          <w:rFonts w:hint="default" w:ascii="仿宋" w:hAnsi="仿宋" w:eastAsia="仿宋" w:cs="仿宋"/>
          <w:b/>
          <w:bCs/>
          <w:i w:val="0"/>
          <w:caps w:val="0"/>
          <w:color w:val="333333"/>
          <w:spacing w:val="0"/>
          <w:kern w:val="0"/>
          <w:sz w:val="28"/>
          <w:szCs w:val="28"/>
          <w:shd w:val="clear" w:fill="FFFFFF"/>
          <w:lang w:val="en-US" w:eastAsia="zh-CN" w:bidi="ar"/>
        </w:rPr>
        <w:t>慢病管理系统</w:t>
      </w:r>
      <w:r>
        <w:rPr>
          <w:rFonts w:hint="eastAsia" w:ascii="仿宋" w:hAnsi="仿宋" w:eastAsia="仿宋" w:cs="仿宋"/>
          <w:b/>
          <w:bCs/>
          <w:i w:val="0"/>
          <w:caps w:val="0"/>
          <w:color w:val="333333"/>
          <w:spacing w:val="0"/>
          <w:kern w:val="0"/>
          <w:sz w:val="28"/>
          <w:szCs w:val="28"/>
          <w:shd w:val="clear" w:fill="FFFFFF"/>
          <w:lang w:val="en-US" w:eastAsia="zh-CN" w:bidi="ar"/>
        </w:rPr>
        <w:t>：</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提高慢病患者的医疗服务质量：慢病管理系统通过数字化和网络化的手段，实现慢病患者信息的集中管理和共享。医生可以随时查看患者的病情、治疗历史和用药情况，更加全面和准确地进行诊断和治疗。同时，患者也可以通过系统查询自己的健康档案和获取健康教育信息，提升医疗服务的便利性和效果。</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促进慢病管理的个性化和精细化：通过数据分析和智能算法，能够帮助医生制定个性化的诊疗方案和健康管理计划。根据患者的病情、生活习惯和遗传特征等因素，系统可以提供相应的建议和干预措施，帮助患者更好地管理疾病，降低并发症风险。</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提升慢病患者的健康素养和自我管理能力：慢病管理系统通过向患者提供健康教育、自我监测和家庭护理等功能，帮助患者提高健康素养和自我管理能力。患者可以了解疾病知识、掌握自我监测技巧、遵循合理的生活方式，自觉参与疾病管理和康复过程，减轻对医疗资源的依赖，提高生活质量。</w:t>
      </w:r>
    </w:p>
    <w:p>
      <w:pPr>
        <w:pStyle w:val="6"/>
        <w:ind w:left="0" w:leftChars="0"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强化医患沟通和信息共享：提供医患之间的沟通渠道和信息共享平台。患者可以通过系统向医生咨询问题、报告病情，医生也可以及时回复和提供指导。同时，患者的数据和病历信息可以在不同医疗机构之间共享，便于就医过程的无缝衔接和信息的传递，提升医患之间的信任和治疗效果。</w:t>
      </w:r>
    </w:p>
    <w:p>
      <w:pPr>
        <w:pStyle w:val="2"/>
        <w:numPr>
          <w:ilvl w:val="0"/>
          <w:numId w:val="0"/>
        </w:numPr>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改善慢病管理的流程和效率：优化慢病管理的流程和效率，提高医疗资源的利用效率。通过系统进行随访提醒、用药监测和预警，及时干预患者病情。提供统计分析和管理报表等功能，帮助医疗机构进行慢病管理工作的评估和改进。</w:t>
      </w:r>
    </w:p>
    <w:p>
      <w:pPr>
        <w:rPr>
          <w:rFonts w:hint="default" w:ascii="仿宋" w:hAnsi="仿宋" w:eastAsia="仿宋" w:cs="仿宋"/>
          <w:i w:val="0"/>
          <w:caps w:val="0"/>
          <w:color w:val="333333"/>
          <w:spacing w:val="0"/>
          <w:kern w:val="0"/>
          <w:sz w:val="28"/>
          <w:szCs w:val="28"/>
          <w:shd w:val="clear" w:fill="FFFFFF"/>
          <w:lang w:val="en-US" w:eastAsia="zh-CN" w:bidi="ar"/>
        </w:rPr>
      </w:pPr>
    </w:p>
    <w:p>
      <w:pPr>
        <w:pStyle w:val="2"/>
        <w:jc w:val="right"/>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德阳市罗江区人民医院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right"/>
        <w:rPr>
          <w:rFonts w:hint="eastAsia" w:ascii="仿宋" w:hAnsi="仿宋" w:eastAsia="仿宋" w:cs="仿宋"/>
          <w:color w:val="555555"/>
          <w:sz w:val="28"/>
          <w:szCs w:val="28"/>
          <w:lang w:eastAsia="zh-CN"/>
        </w:rPr>
      </w:pPr>
      <w:r>
        <w:rPr>
          <w:rFonts w:hint="eastAsia" w:ascii="仿宋" w:hAnsi="仿宋" w:eastAsia="仿宋" w:cs="仿宋"/>
          <w:color w:val="555555"/>
          <w:sz w:val="28"/>
          <w:szCs w:val="28"/>
          <w:lang w:eastAsia="zh-CN"/>
        </w:rPr>
        <w:t>2024年3月</w:t>
      </w:r>
      <w:r>
        <w:rPr>
          <w:rFonts w:hint="eastAsia" w:ascii="仿宋" w:hAnsi="仿宋" w:eastAsia="仿宋" w:cs="仿宋"/>
          <w:color w:val="555555"/>
          <w:sz w:val="28"/>
          <w:szCs w:val="28"/>
          <w:lang w:val="en-US" w:eastAsia="zh-CN"/>
        </w:rPr>
        <w:t>26</w:t>
      </w:r>
      <w:r>
        <w:rPr>
          <w:rFonts w:hint="eastAsia" w:ascii="仿宋" w:hAnsi="仿宋" w:eastAsia="仿宋" w:cs="仿宋"/>
          <w:color w:val="555555"/>
          <w:sz w:val="28"/>
          <w:szCs w:val="28"/>
          <w:lang w:eastAsia="zh-CN"/>
        </w:rPr>
        <w:t>日</w:t>
      </w:r>
    </w:p>
    <w:p>
      <w:pPr>
        <w:pStyle w:val="2"/>
        <w:rPr>
          <w:rFonts w:hint="default"/>
          <w:lang w:val="en-US" w:eastAsia="zh-CN"/>
        </w:rPr>
      </w:pPr>
    </w:p>
    <w:p>
      <w:pPr>
        <w:pStyle w:val="2"/>
        <w:rPr>
          <w:rFonts w:hint="default"/>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43010"/>
    <w:multiLevelType w:val="singleLevel"/>
    <w:tmpl w:val="CF543010"/>
    <w:lvl w:ilvl="0" w:tentative="0">
      <w:start w:val="1"/>
      <w:numFmt w:val="chineseCounting"/>
      <w:suff w:val="nothing"/>
      <w:lvlText w:val="%1、"/>
      <w:lvlJc w:val="left"/>
      <w:rPr>
        <w:rFonts w:hint="eastAsia"/>
      </w:rPr>
    </w:lvl>
  </w:abstractNum>
  <w:abstractNum w:abstractNumId="1">
    <w:nsid w:val="F778ABCA"/>
    <w:multiLevelType w:val="singleLevel"/>
    <w:tmpl w:val="F778ABCA"/>
    <w:lvl w:ilvl="0" w:tentative="0">
      <w:start w:val="2"/>
      <w:numFmt w:val="chineseCounting"/>
      <w:suff w:val="nothing"/>
      <w:lvlText w:val="%1、"/>
      <w:lvlJc w:val="left"/>
      <w:rPr>
        <w:rFonts w:hint="eastAsia"/>
      </w:rPr>
    </w:lvl>
  </w:abstractNum>
  <w:abstractNum w:abstractNumId="2">
    <w:nsid w:val="03A561B3"/>
    <w:multiLevelType w:val="singleLevel"/>
    <w:tmpl w:val="03A561B3"/>
    <w:lvl w:ilvl="0" w:tentative="0">
      <w:start w:val="4"/>
      <w:numFmt w:val="chineseCounting"/>
      <w:suff w:val="nothing"/>
      <w:lvlText w:val="%1、"/>
      <w:lvlJc w:val="left"/>
      <w:rPr>
        <w:rFonts w:hint="eastAsia"/>
      </w:rPr>
    </w:lvl>
  </w:abstractNum>
  <w:abstractNum w:abstractNumId="3">
    <w:nsid w:val="2BE18623"/>
    <w:multiLevelType w:val="singleLevel"/>
    <w:tmpl w:val="2BE18623"/>
    <w:lvl w:ilvl="0" w:tentative="0">
      <w:start w:val="3"/>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MmQ5ZDIwMjEwM2VkYTQ1MDRkYWM1NTJkZTcwZjcifQ=="/>
  </w:docVars>
  <w:rsids>
    <w:rsidRoot w:val="00000000"/>
    <w:rsid w:val="003357D8"/>
    <w:rsid w:val="008769CF"/>
    <w:rsid w:val="01A70303"/>
    <w:rsid w:val="024826A9"/>
    <w:rsid w:val="027E608F"/>
    <w:rsid w:val="02987B74"/>
    <w:rsid w:val="051A4638"/>
    <w:rsid w:val="065C0DC0"/>
    <w:rsid w:val="07801C24"/>
    <w:rsid w:val="07BB5D45"/>
    <w:rsid w:val="08603056"/>
    <w:rsid w:val="09590F21"/>
    <w:rsid w:val="0AFF42CF"/>
    <w:rsid w:val="0C4603F0"/>
    <w:rsid w:val="0C655925"/>
    <w:rsid w:val="112A1850"/>
    <w:rsid w:val="15692637"/>
    <w:rsid w:val="15CC605B"/>
    <w:rsid w:val="19924070"/>
    <w:rsid w:val="1A0E6678"/>
    <w:rsid w:val="1AB83B7D"/>
    <w:rsid w:val="1CE54703"/>
    <w:rsid w:val="207C6DAE"/>
    <w:rsid w:val="22484CBB"/>
    <w:rsid w:val="227448C1"/>
    <w:rsid w:val="2AF82F5E"/>
    <w:rsid w:val="2EAF43D1"/>
    <w:rsid w:val="30D51C61"/>
    <w:rsid w:val="31C3579A"/>
    <w:rsid w:val="31CC1181"/>
    <w:rsid w:val="329A3E3E"/>
    <w:rsid w:val="3309105B"/>
    <w:rsid w:val="34BC7C80"/>
    <w:rsid w:val="353369C2"/>
    <w:rsid w:val="368C20BB"/>
    <w:rsid w:val="38BF3ED3"/>
    <w:rsid w:val="38E72247"/>
    <w:rsid w:val="3A0E466B"/>
    <w:rsid w:val="3A856654"/>
    <w:rsid w:val="3F3466B8"/>
    <w:rsid w:val="40842F0A"/>
    <w:rsid w:val="41CF3294"/>
    <w:rsid w:val="427D0B61"/>
    <w:rsid w:val="459E5C62"/>
    <w:rsid w:val="478A46A9"/>
    <w:rsid w:val="4FFF7438"/>
    <w:rsid w:val="50753CCC"/>
    <w:rsid w:val="507629FF"/>
    <w:rsid w:val="51A46F68"/>
    <w:rsid w:val="522E63F4"/>
    <w:rsid w:val="526345BA"/>
    <w:rsid w:val="52C301A1"/>
    <w:rsid w:val="57267D18"/>
    <w:rsid w:val="58D86152"/>
    <w:rsid w:val="59D86349"/>
    <w:rsid w:val="5E2B5B19"/>
    <w:rsid w:val="5F470301"/>
    <w:rsid w:val="5FC8154F"/>
    <w:rsid w:val="623558FB"/>
    <w:rsid w:val="63100901"/>
    <w:rsid w:val="64C116D7"/>
    <w:rsid w:val="65A25C2E"/>
    <w:rsid w:val="688B17FA"/>
    <w:rsid w:val="6A6148A1"/>
    <w:rsid w:val="6B54637B"/>
    <w:rsid w:val="6D39727C"/>
    <w:rsid w:val="6D4F3B69"/>
    <w:rsid w:val="6DF96462"/>
    <w:rsid w:val="6E2952B2"/>
    <w:rsid w:val="6E810905"/>
    <w:rsid w:val="6FD954DB"/>
    <w:rsid w:val="71047667"/>
    <w:rsid w:val="72C85CEC"/>
    <w:rsid w:val="7B922FB4"/>
    <w:rsid w:val="7BB10350"/>
    <w:rsid w:val="7F6D458E"/>
    <w:rsid w:val="7FAD6712"/>
    <w:rsid w:val="7FFC0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4">
    <w:name w:val="toc 2"/>
    <w:basedOn w:val="1"/>
    <w:next w:val="1"/>
    <w:autoRedefine/>
    <w:qFormat/>
    <w:uiPriority w:val="0"/>
    <w:pPr>
      <w:ind w:left="420" w:leftChars="200"/>
    </w:p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2"/>
    <w:autoRedefine/>
    <w:qFormat/>
    <w:uiPriority w:val="0"/>
    <w:pPr>
      <w:spacing w:line="240" w:lineRule="auto"/>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2024-03-11T11:36:00Z</dcterms:created>
  <dc:creator>Administrator</dc:creator>
  <cp:lastModifiedBy>more廖鹏</cp:lastModifiedBy>
  <dcterms:modified xsi:type="dcterms:W3CDTF">2024-03-27T00:20:06Z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94E89B6634F14B25822AA0311374EEA3_12</vt:lpwstr>
  </property>
</Properties>
</file>